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1FE13" w14:textId="60299A1D" w:rsidR="002177EE" w:rsidRDefault="002177EE">
      <w:pPr>
        <w:pStyle w:val="Heading1"/>
      </w:pPr>
    </w:p>
    <w:p w14:paraId="72071AB2" w14:textId="461239F2" w:rsidR="00666613" w:rsidRDefault="001951E2" w:rsidP="00666613">
      <w:pPr>
        <w:pStyle w:val="Heading2"/>
        <w:rPr>
          <w:sz w:val="24"/>
          <w:szCs w:val="24"/>
        </w:rPr>
      </w:pPr>
      <w:r w:rsidRPr="001951E2">
        <w:rPr>
          <w:sz w:val="24"/>
          <w:szCs w:val="24"/>
        </w:rPr>
        <w:t xml:space="preserve">From </w:t>
      </w:r>
      <w:r w:rsidR="00666613">
        <w:rPr>
          <w:sz w:val="24"/>
          <w:szCs w:val="24"/>
        </w:rPr>
        <w:t>p</w:t>
      </w:r>
      <w:r w:rsidRPr="001951E2">
        <w:rPr>
          <w:sz w:val="24"/>
          <w:szCs w:val="24"/>
        </w:rPr>
        <w:t xml:space="preserve">roject to </w:t>
      </w:r>
      <w:r w:rsidR="00666613">
        <w:rPr>
          <w:sz w:val="24"/>
          <w:szCs w:val="24"/>
        </w:rPr>
        <w:t>o</w:t>
      </w:r>
      <w:r w:rsidRPr="001951E2">
        <w:rPr>
          <w:sz w:val="24"/>
          <w:szCs w:val="24"/>
        </w:rPr>
        <w:t xml:space="preserve">cean: First ITINERIS </w:t>
      </w:r>
      <w:r w:rsidR="00666613">
        <w:rPr>
          <w:sz w:val="24"/>
          <w:szCs w:val="24"/>
        </w:rPr>
        <w:t>g</w:t>
      </w:r>
      <w:r w:rsidRPr="001951E2">
        <w:rPr>
          <w:sz w:val="24"/>
          <w:szCs w:val="24"/>
        </w:rPr>
        <w:t>lider-</w:t>
      </w:r>
      <w:r w:rsidR="00666613">
        <w:rPr>
          <w:sz w:val="24"/>
          <w:szCs w:val="24"/>
        </w:rPr>
        <w:t>b</w:t>
      </w:r>
      <w:r w:rsidRPr="001951E2">
        <w:rPr>
          <w:sz w:val="24"/>
          <w:szCs w:val="24"/>
        </w:rPr>
        <w:t xml:space="preserve">ased </w:t>
      </w:r>
      <w:r w:rsidR="00666613">
        <w:rPr>
          <w:sz w:val="24"/>
          <w:szCs w:val="24"/>
        </w:rPr>
        <w:t>i</w:t>
      </w:r>
      <w:r w:rsidRPr="001951E2">
        <w:rPr>
          <w:sz w:val="24"/>
          <w:szCs w:val="24"/>
        </w:rPr>
        <w:t xml:space="preserve">nsights in the Ligurian </w:t>
      </w:r>
      <w:r w:rsidR="00666613">
        <w:rPr>
          <w:sz w:val="24"/>
          <w:szCs w:val="24"/>
        </w:rPr>
        <w:t>s</w:t>
      </w:r>
      <w:r w:rsidRPr="001951E2">
        <w:rPr>
          <w:sz w:val="24"/>
          <w:szCs w:val="24"/>
        </w:rPr>
        <w:t>ea</w:t>
      </w:r>
    </w:p>
    <w:p w14:paraId="1E5322F8" w14:textId="41A5003E" w:rsidR="006706F6" w:rsidRPr="00666613" w:rsidRDefault="00735073" w:rsidP="00666613">
      <w:pPr>
        <w:pStyle w:val="Heading2"/>
        <w:rPr>
          <w:sz w:val="24"/>
          <w:szCs w:val="24"/>
        </w:rPr>
      </w:pPr>
      <w:r w:rsidRPr="00666613">
        <w:rPr>
          <w:iCs w:val="0"/>
          <w:kern w:val="2"/>
          <w:sz w:val="22"/>
          <w:szCs w:val="22"/>
        </w:rPr>
        <w:br/>
      </w:r>
      <w:proofErr w:type="spellStart"/>
      <w:r w:rsidR="00FF5EFE" w:rsidRPr="00666613">
        <w:rPr>
          <w:sz w:val="22"/>
          <w:szCs w:val="22"/>
        </w:rPr>
        <w:t>Kokkini</w:t>
      </w:r>
      <w:proofErr w:type="spellEnd"/>
      <w:r w:rsidR="00FF5EFE" w:rsidRPr="00666613">
        <w:rPr>
          <w:sz w:val="22"/>
          <w:szCs w:val="22"/>
        </w:rPr>
        <w:t xml:space="preserve"> Z.</w:t>
      </w:r>
      <w:r w:rsidR="00B042FF" w:rsidRPr="00666613">
        <w:rPr>
          <w:sz w:val="22"/>
          <w:szCs w:val="22"/>
          <w:vertAlign w:val="superscript"/>
        </w:rPr>
        <w:t xml:space="preserve"> </w:t>
      </w:r>
      <w:r w:rsidR="00B042FF" w:rsidRPr="00666613">
        <w:rPr>
          <w:sz w:val="22"/>
          <w:szCs w:val="22"/>
          <w:vertAlign w:val="superscript"/>
        </w:rPr>
        <w:t>1</w:t>
      </w:r>
      <w:r w:rsidR="00FF5EFE" w:rsidRPr="00666613">
        <w:rPr>
          <w:sz w:val="22"/>
          <w:szCs w:val="22"/>
        </w:rPr>
        <w:t>, Berta M.</w:t>
      </w:r>
      <w:r w:rsidR="00B042FF" w:rsidRPr="00666613">
        <w:rPr>
          <w:sz w:val="22"/>
          <w:szCs w:val="22"/>
          <w:vertAlign w:val="superscript"/>
        </w:rPr>
        <w:t xml:space="preserve"> </w:t>
      </w:r>
      <w:r w:rsidR="00B042FF" w:rsidRPr="00666613">
        <w:rPr>
          <w:sz w:val="22"/>
          <w:szCs w:val="22"/>
          <w:vertAlign w:val="superscript"/>
        </w:rPr>
        <w:t>1</w:t>
      </w:r>
      <w:r w:rsidR="00FF5EFE" w:rsidRPr="00666613">
        <w:rPr>
          <w:sz w:val="22"/>
          <w:szCs w:val="22"/>
        </w:rPr>
        <w:t>, Boccacci A.</w:t>
      </w:r>
      <w:r w:rsidR="00B042FF" w:rsidRPr="00666613">
        <w:rPr>
          <w:sz w:val="22"/>
          <w:szCs w:val="22"/>
          <w:vertAlign w:val="superscript"/>
        </w:rPr>
        <w:t xml:space="preserve"> </w:t>
      </w:r>
      <w:r w:rsidR="00B042FF" w:rsidRPr="00666613">
        <w:rPr>
          <w:sz w:val="22"/>
          <w:szCs w:val="22"/>
          <w:vertAlign w:val="superscript"/>
        </w:rPr>
        <w:t>1</w:t>
      </w:r>
      <w:r w:rsidR="00FF5EFE" w:rsidRPr="00666613">
        <w:rPr>
          <w:sz w:val="22"/>
          <w:szCs w:val="22"/>
        </w:rPr>
        <w:t xml:space="preserve">, </w:t>
      </w:r>
      <w:proofErr w:type="spellStart"/>
      <w:r w:rsidR="00FF5EFE" w:rsidRPr="00666613">
        <w:rPr>
          <w:sz w:val="22"/>
          <w:szCs w:val="22"/>
        </w:rPr>
        <w:t>DiMacco</w:t>
      </w:r>
      <w:proofErr w:type="spellEnd"/>
      <w:r w:rsidR="00FF5EFE" w:rsidRPr="00666613">
        <w:rPr>
          <w:sz w:val="22"/>
          <w:szCs w:val="22"/>
        </w:rPr>
        <w:t xml:space="preserve"> A.</w:t>
      </w:r>
      <w:r w:rsidR="00B042FF" w:rsidRPr="00666613">
        <w:rPr>
          <w:sz w:val="22"/>
          <w:szCs w:val="22"/>
          <w:vertAlign w:val="superscript"/>
        </w:rPr>
        <w:t xml:space="preserve"> </w:t>
      </w:r>
      <w:r w:rsidR="00B042FF" w:rsidRPr="00666613">
        <w:rPr>
          <w:sz w:val="22"/>
          <w:szCs w:val="22"/>
          <w:vertAlign w:val="superscript"/>
        </w:rPr>
        <w:t>1</w:t>
      </w:r>
      <w:r w:rsidR="00FF5EFE" w:rsidRPr="00666613">
        <w:rPr>
          <w:sz w:val="22"/>
          <w:szCs w:val="22"/>
        </w:rPr>
        <w:t>, Lagomarsino Oneto D.</w:t>
      </w:r>
      <w:r w:rsidR="00B042FF" w:rsidRPr="00666613">
        <w:rPr>
          <w:sz w:val="22"/>
          <w:szCs w:val="22"/>
          <w:vertAlign w:val="superscript"/>
        </w:rPr>
        <w:t xml:space="preserve"> </w:t>
      </w:r>
      <w:r w:rsidR="00B042FF" w:rsidRPr="00666613">
        <w:rPr>
          <w:sz w:val="22"/>
          <w:szCs w:val="22"/>
          <w:vertAlign w:val="superscript"/>
        </w:rPr>
        <w:t>1</w:t>
      </w:r>
      <w:r w:rsidR="00FF5EFE" w:rsidRPr="00666613">
        <w:rPr>
          <w:sz w:val="22"/>
          <w:szCs w:val="22"/>
        </w:rPr>
        <w:t>, Sciascia R.</w:t>
      </w:r>
      <w:r w:rsidR="00B042FF" w:rsidRPr="00666613">
        <w:rPr>
          <w:sz w:val="22"/>
          <w:szCs w:val="22"/>
          <w:vertAlign w:val="superscript"/>
        </w:rPr>
        <w:t xml:space="preserve"> </w:t>
      </w:r>
      <w:r w:rsidR="00B042FF" w:rsidRPr="00666613">
        <w:rPr>
          <w:sz w:val="22"/>
          <w:szCs w:val="22"/>
          <w:vertAlign w:val="superscript"/>
        </w:rPr>
        <w:t>1</w:t>
      </w:r>
      <w:r w:rsidR="00FF5EFE" w:rsidRPr="00666613">
        <w:rPr>
          <w:sz w:val="22"/>
          <w:szCs w:val="22"/>
        </w:rPr>
        <w:t>, Tagliavini R.</w:t>
      </w:r>
      <w:r w:rsidR="00B042FF" w:rsidRPr="00666613">
        <w:rPr>
          <w:sz w:val="22"/>
          <w:szCs w:val="22"/>
          <w:vertAlign w:val="superscript"/>
        </w:rPr>
        <w:t xml:space="preserve"> </w:t>
      </w:r>
      <w:r w:rsidR="00B042FF" w:rsidRPr="00666613">
        <w:rPr>
          <w:sz w:val="22"/>
          <w:szCs w:val="22"/>
          <w:vertAlign w:val="superscript"/>
        </w:rPr>
        <w:t>1</w:t>
      </w:r>
      <w:r w:rsidR="00FF5EFE" w:rsidRPr="00666613">
        <w:rPr>
          <w:sz w:val="22"/>
          <w:szCs w:val="22"/>
        </w:rPr>
        <w:t xml:space="preserve">, </w:t>
      </w:r>
      <w:r w:rsidR="00D6487A" w:rsidRPr="00666613">
        <w:rPr>
          <w:sz w:val="22"/>
          <w:szCs w:val="22"/>
        </w:rPr>
        <w:t>Zarokanellos D. N.</w:t>
      </w:r>
      <w:r w:rsidR="00D6487A" w:rsidRPr="00666613">
        <w:rPr>
          <w:sz w:val="22"/>
          <w:szCs w:val="22"/>
          <w:vertAlign w:val="superscript"/>
        </w:rPr>
        <w:t>2</w:t>
      </w:r>
      <w:r w:rsidR="00D6487A" w:rsidRPr="00666613">
        <w:rPr>
          <w:sz w:val="22"/>
          <w:szCs w:val="22"/>
        </w:rPr>
        <w:t xml:space="preserve"> </w:t>
      </w:r>
      <w:r w:rsidR="00FF5EFE" w:rsidRPr="00666613">
        <w:rPr>
          <w:sz w:val="22"/>
          <w:szCs w:val="22"/>
        </w:rPr>
        <w:t>and Magaldi M</w:t>
      </w:r>
      <w:r w:rsidR="00B042FF" w:rsidRPr="00666613">
        <w:rPr>
          <w:sz w:val="22"/>
          <w:szCs w:val="22"/>
          <w:vertAlign w:val="superscript"/>
        </w:rPr>
        <w:t>1</w:t>
      </w:r>
      <w:r w:rsidR="00FF5EFE" w:rsidRPr="00666613">
        <w:rPr>
          <w:sz w:val="22"/>
          <w:szCs w:val="22"/>
        </w:rPr>
        <w:t>.</w:t>
      </w:r>
      <w:r w:rsidR="00FF5EFE" w:rsidRPr="00666613">
        <w:rPr>
          <w:sz w:val="22"/>
          <w:szCs w:val="22"/>
        </w:rPr>
        <w:t xml:space="preserve"> </w:t>
      </w:r>
    </w:p>
    <w:p w14:paraId="767148E0" w14:textId="3EE956F3" w:rsidR="006706F6" w:rsidRDefault="007F6533">
      <w:pPr>
        <w:pStyle w:val="Heading3"/>
      </w:pPr>
      <w:r>
        <w:rPr>
          <w:vertAlign w:val="superscript"/>
        </w:rPr>
        <w:t>1</w:t>
      </w:r>
      <w:r w:rsidR="00B042FF">
        <w:t>National Research Counsil (CNR), Institute of Marine Sciences (ISMAR), La Spezia (Italy)</w:t>
      </w:r>
    </w:p>
    <w:p w14:paraId="05325939" w14:textId="42374AB2" w:rsidR="00D6487A" w:rsidRPr="00D6487A" w:rsidRDefault="00D6487A" w:rsidP="00666613">
      <w:pPr>
        <w:pStyle w:val="Heading3"/>
      </w:pPr>
      <w:r>
        <w:rPr>
          <w:vertAlign w:val="superscript"/>
        </w:rPr>
        <w:t>2</w:t>
      </w:r>
      <w:r w:rsidR="00C36282" w:rsidRPr="00C36282">
        <w:t xml:space="preserve"> </w:t>
      </w:r>
      <w:r w:rsidR="00C36282">
        <w:t xml:space="preserve">Balearic Islands Coastal Observing and Forecasting System (SOCIB), Palma, </w:t>
      </w:r>
      <w:r>
        <w:t>(</w:t>
      </w:r>
      <w:r w:rsidR="00C36282">
        <w:t>Spain</w:t>
      </w:r>
      <w:r>
        <w:t>)</w:t>
      </w:r>
    </w:p>
    <w:p w14:paraId="7305AFD5" w14:textId="18F98127" w:rsidR="006706F6" w:rsidRDefault="007F6533">
      <w:pPr>
        <w:pStyle w:val="Heading3"/>
        <w:rPr>
          <w:sz w:val="18"/>
          <w:szCs w:val="18"/>
        </w:rPr>
      </w:pPr>
      <w:r>
        <w:t xml:space="preserve">Email of communicating </w:t>
      </w:r>
      <w:r w:rsidR="00393E23">
        <w:t>zoi.kokkini</w:t>
      </w:r>
      <w:r>
        <w:t>@</w:t>
      </w:r>
      <w:r w:rsidR="00393E23">
        <w:t>cnr.it</w:t>
      </w:r>
      <w:r>
        <w:t xml:space="preserve"> </w:t>
      </w:r>
      <w:r>
        <w:rPr>
          <w:lang w:eastAsia="de-DE"/>
        </w:rPr>
        <w:br/>
      </w:r>
    </w:p>
    <w:p w14:paraId="3CF8A07A" w14:textId="77777777" w:rsidR="00F20EDE" w:rsidRDefault="00F20EDE" w:rsidP="00F20EDE"/>
    <w:p w14:paraId="46E5EA69" w14:textId="77777777" w:rsidR="005328B0" w:rsidRPr="005328B0" w:rsidRDefault="005328B0" w:rsidP="00434D22">
      <w:pPr>
        <w:pStyle w:val="BodyText"/>
        <w:rPr>
          <w:lang w:eastAsia="en-GB"/>
        </w:rPr>
      </w:pPr>
      <w:r w:rsidRPr="005328B0">
        <w:t>The ocean regulates Earth’s climate, sustains biodiversity, and supports key human activities such as fisheries, transport, and coastal economies. Monitoring these complex systems requires continuous and reliable observations of “Essential Ocean Variables” (EOVs). Marine gliders—autonomous vehicles that move by changing buoyancy—are increasingly used to collect EOV data due to several advantages. They provide long-term, persistent monitoring at lower cost than ship-based surveys, can operate in difficult or remote areas, and deliver high‐resolution water column measurements. Unlike fixed buoys or satellites, gliders follow planned routes and transmit data in real time, improving early warning systems for environmental events. As such, they are key components of the global ocean observing system, contributing to climate models, weather forecasts, and sustainable resource management.</w:t>
      </w:r>
    </w:p>
    <w:p w14:paraId="7D5E86F9" w14:textId="3FF005EB" w:rsidR="005328B0" w:rsidRPr="005328B0" w:rsidRDefault="005328B0" w:rsidP="00434D22">
      <w:pPr>
        <w:pStyle w:val="BodyText"/>
      </w:pPr>
      <w:r w:rsidRPr="005328B0">
        <w:t>Two glider campaigns—AMBO25 and EYES ON GLIDERS—were carried out in the Ligurian Sea in April and July</w:t>
      </w:r>
      <w:r w:rsidR="0031294A">
        <w:t>/</w:t>
      </w:r>
      <w:r w:rsidRPr="005328B0">
        <w:t>August 2025 using SEAEXPLORER platforms acquired under ITINERIS project to support the JERICO research infrastructure. The AMBO25 mission (almost 17 days) deployed the SEA113 glider “Morgana” along a 10 km transect near Deiva Marina. Equipped with CTD, dissolved oxygen, and bio-optical sensors, the glider recorded the ocean response to strong winds and harsh weather conditions. An episode of intense fishing activity was also reported in the area toward the end of the campaign.</w:t>
      </w:r>
    </w:p>
    <w:p w14:paraId="2E6CED94" w14:textId="6591249B" w:rsidR="005328B0" w:rsidRPr="005328B0" w:rsidRDefault="005328B0" w:rsidP="00434D22">
      <w:pPr>
        <w:pStyle w:val="BodyText"/>
      </w:pPr>
      <w:r w:rsidRPr="005328B0">
        <w:t>The EYES ON GLIDERS campaign was run in parallel with the Gaia Blue R/V Campaign and deployed SEA112 (“Pandora”) and Morgana. Morgana followed a 70 km × 60 km L-shaped transect</w:t>
      </w:r>
      <w:r>
        <w:t xml:space="preserve"> starting from</w:t>
      </w:r>
      <w:r w:rsidRPr="005328B0">
        <w:t xml:space="preserve"> the </w:t>
      </w:r>
      <w:proofErr w:type="spellStart"/>
      <w:r w:rsidRPr="005328B0">
        <w:t>Arenzano</w:t>
      </w:r>
      <w:proofErr w:type="spellEnd"/>
      <w:r w:rsidRPr="005328B0">
        <w:t xml:space="preserve"> area, while Pandora performed a similar transect near Chiavari, including current and turbulence sensors. Morgana operated for ~20 days, whereas Pandora completed only 4 days due to technical issues. These early campaigns demonstrate the suitability of the new JERICO gliders for multi-scale EOV observations and enhanced assessment of coupled physical–biogeochemical processes.</w:t>
      </w:r>
    </w:p>
    <w:p w14:paraId="0B6DD039" w14:textId="77777777" w:rsidR="00F20EDE" w:rsidRDefault="00F20EDE" w:rsidP="00F20EDE">
      <w:pPr>
        <w:ind w:left="284"/>
      </w:pPr>
    </w:p>
    <w:p w14:paraId="0A88A0C2" w14:textId="6E09E2E6" w:rsidR="006706F6" w:rsidRPr="00F20EDE" w:rsidRDefault="008638B1" w:rsidP="00F20EDE">
      <w:r w:rsidRPr="00F14906">
        <w:rPr>
          <w:b/>
          <w:bCs/>
          <w:noProof/>
        </w:rPr>
        <mc:AlternateContent>
          <mc:Choice Requires="wps">
            <w:drawing>
              <wp:anchor distT="0" distB="0" distL="114300" distR="114300" simplePos="0" relativeHeight="251657216" behindDoc="0" locked="0" layoutInCell="1" allowOverlap="1" wp14:anchorId="64A2D9F6" wp14:editId="1B621DE6">
                <wp:simplePos x="0" y="0"/>
                <wp:positionH relativeFrom="column">
                  <wp:posOffset>0</wp:posOffset>
                </wp:positionH>
                <wp:positionV relativeFrom="paragraph">
                  <wp:posOffset>0</wp:posOffset>
                </wp:positionV>
                <wp:extent cx="635000" cy="635000"/>
                <wp:effectExtent l="0" t="0" r="3175" b="3175"/>
                <wp:wrapNone/>
                <wp:docPr id="2066498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EE465" id="_x0000_tole_rId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14906" w:rsidRPr="00F14906">
        <w:rPr>
          <w:b/>
          <w:bCs/>
        </w:rPr>
        <w:t xml:space="preserve">Keywords: </w:t>
      </w:r>
      <w:r w:rsidR="00281B76">
        <w:rPr>
          <w:b/>
          <w:bCs/>
        </w:rPr>
        <w:t>O</w:t>
      </w:r>
      <w:r w:rsidR="000B735A">
        <w:rPr>
          <w:b/>
          <w:bCs/>
        </w:rPr>
        <w:t xml:space="preserve">cean </w:t>
      </w:r>
      <w:r w:rsidR="005328B0">
        <w:rPr>
          <w:b/>
          <w:bCs/>
        </w:rPr>
        <w:t xml:space="preserve">gliders, </w:t>
      </w:r>
      <w:r w:rsidR="008D0634">
        <w:rPr>
          <w:b/>
          <w:bCs/>
        </w:rPr>
        <w:t>EOV observations</w:t>
      </w:r>
      <w:r w:rsidR="00281B76">
        <w:rPr>
          <w:b/>
          <w:bCs/>
        </w:rPr>
        <w:t>, Research Infrastructures</w:t>
      </w:r>
      <w:r w:rsidR="00D6487A">
        <w:rPr>
          <w:b/>
          <w:bCs/>
        </w:rPr>
        <w:t>.</w:t>
      </w:r>
    </w:p>
    <w:p w14:paraId="674716A7" w14:textId="77777777" w:rsidR="00A834F0" w:rsidRPr="00A834F0" w:rsidRDefault="00A834F0" w:rsidP="00A834F0"/>
    <w:p w14:paraId="730B0467" w14:textId="77777777" w:rsidR="00A834F0" w:rsidRPr="00A834F0" w:rsidRDefault="00A834F0" w:rsidP="00A834F0"/>
    <w:p w14:paraId="2BD8396D" w14:textId="77777777" w:rsidR="00A834F0" w:rsidRPr="00A834F0" w:rsidRDefault="00A834F0" w:rsidP="00A834F0"/>
    <w:p w14:paraId="014D2BD2" w14:textId="77777777" w:rsidR="00A834F0" w:rsidRPr="00A834F0" w:rsidRDefault="00A834F0" w:rsidP="00A834F0"/>
    <w:p w14:paraId="1DDBFCA2" w14:textId="77777777" w:rsidR="00A834F0" w:rsidRPr="00A834F0" w:rsidRDefault="00A834F0" w:rsidP="00A834F0"/>
    <w:p w14:paraId="58137074" w14:textId="77777777" w:rsidR="00A834F0" w:rsidRPr="00A834F0" w:rsidRDefault="00A834F0" w:rsidP="00A834F0"/>
    <w:p w14:paraId="020CA788" w14:textId="77777777" w:rsidR="00A834F0" w:rsidRPr="00A834F0" w:rsidRDefault="00A834F0" w:rsidP="00A834F0"/>
    <w:p w14:paraId="6BE38D15" w14:textId="77777777" w:rsidR="00A834F0" w:rsidRPr="00A834F0" w:rsidRDefault="00A834F0" w:rsidP="00A834F0"/>
    <w:p w14:paraId="3C7ECC3C" w14:textId="77777777" w:rsidR="00A834F0" w:rsidRPr="00A834F0" w:rsidRDefault="00A834F0" w:rsidP="00A834F0"/>
    <w:p w14:paraId="7DF23F5C" w14:textId="77777777" w:rsidR="00A834F0" w:rsidRDefault="00A834F0" w:rsidP="00A834F0">
      <w:pPr>
        <w:rPr>
          <w:b/>
          <w:bCs/>
        </w:rPr>
      </w:pPr>
    </w:p>
    <w:p w14:paraId="2B499DD7" w14:textId="77777777" w:rsidR="00A834F0" w:rsidRPr="00F20EDE" w:rsidRDefault="00A834F0" w:rsidP="00F20EDE">
      <w:pPr>
        <w:rPr>
          <w:i/>
        </w:rPr>
      </w:pPr>
    </w:p>
    <w:sectPr w:rsidR="00A834F0" w:rsidRPr="00F20EDE" w:rsidSect="00F20EDE">
      <w:headerReference w:type="default" r:id="rId7"/>
      <w:footerReference w:type="default" r:id="rId8"/>
      <w:pgSz w:w="12240" w:h="15840"/>
      <w:pgMar w:top="1417" w:right="1134" w:bottom="1134" w:left="1134" w:header="708" w:footer="113"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C1ED9" w14:textId="77777777" w:rsidR="00A81E6D" w:rsidRDefault="00A81E6D">
      <w:pPr>
        <w:spacing w:after="0"/>
      </w:pPr>
      <w:r>
        <w:separator/>
      </w:r>
    </w:p>
  </w:endnote>
  <w:endnote w:type="continuationSeparator" w:id="0">
    <w:p w14:paraId="1ED9FC92" w14:textId="77777777" w:rsidR="00A81E6D" w:rsidRDefault="00A81E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pitch w:val="default"/>
  </w:font>
  <w:font w:name="Lohit Devanagari">
    <w:altName w:val="Times New Roman"/>
    <w:panose1 w:val="020B0604020202020204"/>
    <w:charset w:val="00"/>
    <w:family w:val="roman"/>
    <w:pitch w:val="default"/>
  </w:font>
  <w:font w:name="Titillium Web">
    <w:panose1 w:val="00000500000000000000"/>
    <w:charset w:val="4D"/>
    <w:family w:val="auto"/>
    <w:pitch w:val="variable"/>
    <w:sig w:usb0="00000007" w:usb1="00000001" w:usb2="00000000" w:usb3="00000000" w:csb0="00000093" w:csb1="00000000"/>
  </w:font>
  <w:font w:name="Calibri">
    <w:panose1 w:val="020F0502020204030204"/>
    <w:charset w:val="00"/>
    <w:family w:val="swiss"/>
    <w:pitch w:val="variable"/>
    <w:sig w:usb0="E0002AFF" w:usb1="C000ACFF" w:usb2="00000009" w:usb3="00000000" w:csb0="000001FF" w:csb1="00000000"/>
  </w:font>
  <w:font w:name="BkwnxrHelveticaLTCom">
    <w:altName w:val="Calibri"/>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6E397" w14:textId="761CDDF0" w:rsidR="00A834F0" w:rsidRPr="00F20EDE" w:rsidRDefault="00A834F0" w:rsidP="00F20EDE">
    <w:pPr>
      <w:pStyle w:val="Footer"/>
      <w:rPr>
        <w:i/>
        <w:iCs/>
        <w:caps/>
        <w:color w:val="000000" w:themeColor="text1"/>
      </w:rPr>
    </w:pPr>
    <w:r w:rsidRPr="00F20EDE">
      <w:rPr>
        <w:i/>
        <w:iCs/>
        <w:color w:val="000000" w:themeColor="text1"/>
      </w:rPr>
      <w:t xml:space="preserve">ITINERIS Final Meeting </w:t>
    </w:r>
    <w:r w:rsidRPr="00F20EDE">
      <w:rPr>
        <w:i/>
        <w:iCs/>
        <w:caps/>
        <w:color w:val="000000" w:themeColor="text1"/>
      </w:rPr>
      <w:t>–</w:t>
    </w:r>
    <w:r w:rsidRPr="00F20EDE">
      <w:rPr>
        <w:i/>
        <w:iCs/>
        <w:color w:val="000000" w:themeColor="text1"/>
      </w:rPr>
      <w:t xml:space="preserve"> Rome 25-26 </w:t>
    </w:r>
    <w:r w:rsidR="00F20EDE">
      <w:rPr>
        <w:i/>
        <w:iCs/>
        <w:color w:val="000000" w:themeColor="text1"/>
      </w:rPr>
      <w:t>September</w:t>
    </w:r>
    <w:r w:rsidRPr="00F20EDE">
      <w:rPr>
        <w:i/>
        <w:iCs/>
        <w:color w:val="000000" w:themeColor="text1"/>
      </w:rPr>
      <w:t xml:space="preserve"> 202</w:t>
    </w:r>
    <w:r w:rsidR="00F20EDE">
      <w:rPr>
        <w:i/>
        <w:iCs/>
        <w:color w:val="000000" w:themeColor="text1"/>
      </w:rPr>
      <w:t>5</w:t>
    </w:r>
    <w:r w:rsidRPr="00F20EDE">
      <w:rPr>
        <w:i/>
        <w:iCs/>
        <w:caps/>
        <w:color w:val="000000" w:themeColor="text1"/>
      </w:rPr>
      <w:t xml:space="preserve">                                                                                           </w:t>
    </w:r>
    <w:r w:rsidR="00F20EDE" w:rsidRPr="00F20EDE">
      <w:rPr>
        <w:i/>
        <w:iCs/>
        <w:caps/>
        <w:color w:val="000000" w:themeColor="text1"/>
      </w:rPr>
      <w:tab/>
    </w:r>
    <w:r w:rsidR="00F20EDE">
      <w:rPr>
        <w:i/>
        <w:iCs/>
        <w:caps/>
        <w:color w:val="000000" w:themeColor="text1"/>
      </w:rPr>
      <w:tab/>
    </w:r>
    <w:r w:rsidRPr="00F20EDE">
      <w:rPr>
        <w:i/>
        <w:iCs/>
        <w:caps/>
        <w:color w:val="000000" w:themeColor="text1"/>
      </w:rPr>
      <w:fldChar w:fldCharType="begin"/>
    </w:r>
    <w:r w:rsidRPr="00F20EDE">
      <w:rPr>
        <w:i/>
        <w:iCs/>
        <w:caps/>
        <w:color w:val="000000" w:themeColor="text1"/>
      </w:rPr>
      <w:instrText>PAGE   \* MERGEFORMAT</w:instrText>
    </w:r>
    <w:r w:rsidRPr="00F20EDE">
      <w:rPr>
        <w:i/>
        <w:iCs/>
        <w:caps/>
        <w:color w:val="000000" w:themeColor="text1"/>
      </w:rPr>
      <w:fldChar w:fldCharType="separate"/>
    </w:r>
    <w:r w:rsidRPr="00F20EDE">
      <w:rPr>
        <w:i/>
        <w:iCs/>
        <w:caps/>
        <w:color w:val="000000" w:themeColor="text1"/>
      </w:rPr>
      <w:t>2</w:t>
    </w:r>
    <w:r w:rsidRPr="00F20EDE">
      <w:rPr>
        <w:i/>
        <w:iCs/>
        <w:caps/>
        <w:color w:val="000000" w:themeColor="text1"/>
      </w:rPr>
      <w:fldChar w:fldCharType="end"/>
    </w:r>
  </w:p>
  <w:p w14:paraId="0122334F" w14:textId="5677431F" w:rsidR="006706F6" w:rsidRPr="00A834F0" w:rsidRDefault="006706F6" w:rsidP="00A834F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20C22" w14:textId="77777777" w:rsidR="00A81E6D" w:rsidRDefault="00A81E6D">
      <w:pPr>
        <w:spacing w:after="0"/>
      </w:pPr>
      <w:r>
        <w:separator/>
      </w:r>
    </w:p>
  </w:footnote>
  <w:footnote w:type="continuationSeparator" w:id="0">
    <w:p w14:paraId="513F0853" w14:textId="77777777" w:rsidR="00A81E6D" w:rsidRDefault="00A81E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E13D3" w14:textId="0E0D7DAD" w:rsidR="006706F6" w:rsidRDefault="00A834F0" w:rsidP="00A834F0">
    <w:pPr>
      <w:tabs>
        <w:tab w:val="center" w:pos="4703"/>
        <w:tab w:val="right" w:pos="9406"/>
      </w:tabs>
      <w:jc w:val="center"/>
    </w:pPr>
    <w:r w:rsidRPr="00A834F0">
      <w:rPr>
        <w:noProof/>
      </w:rPr>
      <w:drawing>
        <wp:inline distT="0" distB="0" distL="0" distR="0" wp14:anchorId="65125485" wp14:editId="231A176C">
          <wp:extent cx="2593910" cy="426554"/>
          <wp:effectExtent l="0" t="0" r="0" b="5715"/>
          <wp:docPr id="164457765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096786" name=""/>
                  <pic:cNvPicPr/>
                </pic:nvPicPr>
                <pic:blipFill>
                  <a:blip r:embed="rId1">
                    <a:extLst>
                      <a:ext uri="{96DAC541-7B7A-43D3-8B79-37D633B846F1}">
                        <asvg:svgBlip xmlns:asvg="http://schemas.microsoft.com/office/drawing/2016/SVG/main" r:embed="rId2"/>
                      </a:ext>
                    </a:extLst>
                  </a:blip>
                  <a:stretch>
                    <a:fillRect/>
                  </a:stretch>
                </pic:blipFill>
                <pic:spPr>
                  <a:xfrm>
                    <a:off x="0" y="0"/>
                    <a:ext cx="2787093" cy="45832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proofState w:spelling="clean" w:grammar="clean"/>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6F6"/>
    <w:rsid w:val="000137D7"/>
    <w:rsid w:val="00015E94"/>
    <w:rsid w:val="00050CE0"/>
    <w:rsid w:val="000A77D2"/>
    <w:rsid w:val="000B735A"/>
    <w:rsid w:val="001219CF"/>
    <w:rsid w:val="00144137"/>
    <w:rsid w:val="001951E2"/>
    <w:rsid w:val="001D4750"/>
    <w:rsid w:val="001D53B8"/>
    <w:rsid w:val="001E3875"/>
    <w:rsid w:val="001E7F38"/>
    <w:rsid w:val="001F6B5D"/>
    <w:rsid w:val="002177EE"/>
    <w:rsid w:val="002250AA"/>
    <w:rsid w:val="00281B76"/>
    <w:rsid w:val="002A4912"/>
    <w:rsid w:val="002A79D3"/>
    <w:rsid w:val="0031294A"/>
    <w:rsid w:val="00393E23"/>
    <w:rsid w:val="003D2510"/>
    <w:rsid w:val="00434D22"/>
    <w:rsid w:val="004D68AC"/>
    <w:rsid w:val="005328B0"/>
    <w:rsid w:val="00545198"/>
    <w:rsid w:val="005A6355"/>
    <w:rsid w:val="005F53EB"/>
    <w:rsid w:val="00651068"/>
    <w:rsid w:val="00666613"/>
    <w:rsid w:val="006706F6"/>
    <w:rsid w:val="006841AA"/>
    <w:rsid w:val="006E1F2D"/>
    <w:rsid w:val="0072576A"/>
    <w:rsid w:val="00735073"/>
    <w:rsid w:val="00754550"/>
    <w:rsid w:val="007D4B4B"/>
    <w:rsid w:val="007F35C8"/>
    <w:rsid w:val="007F6533"/>
    <w:rsid w:val="00841507"/>
    <w:rsid w:val="00857B29"/>
    <w:rsid w:val="008638B1"/>
    <w:rsid w:val="00893658"/>
    <w:rsid w:val="008D0634"/>
    <w:rsid w:val="009175C3"/>
    <w:rsid w:val="00A81E6D"/>
    <w:rsid w:val="00A834F0"/>
    <w:rsid w:val="00A9064F"/>
    <w:rsid w:val="00AE03B9"/>
    <w:rsid w:val="00AF1DC5"/>
    <w:rsid w:val="00B042FF"/>
    <w:rsid w:val="00B0799B"/>
    <w:rsid w:val="00B11B69"/>
    <w:rsid w:val="00B441C2"/>
    <w:rsid w:val="00C36282"/>
    <w:rsid w:val="00C3659D"/>
    <w:rsid w:val="00CB0F9F"/>
    <w:rsid w:val="00D6487A"/>
    <w:rsid w:val="00DD646B"/>
    <w:rsid w:val="00E36382"/>
    <w:rsid w:val="00F02894"/>
    <w:rsid w:val="00F07AA5"/>
    <w:rsid w:val="00F07BF4"/>
    <w:rsid w:val="00F14906"/>
    <w:rsid w:val="00F20EDE"/>
    <w:rsid w:val="00F5764A"/>
    <w:rsid w:val="00FF5EF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778DF"/>
  <w15:docId w15:val="{59453731-8001-4B90-8FB6-8404BABA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atavarie12">
    <w:name w:val="testata_varie12"/>
    <w:basedOn w:val="Normal"/>
    <w:link w:val="testatavarie12Carattere"/>
    <w:qFormat/>
    <w:rsid w:val="005A6355"/>
    <w:pPr>
      <w:suppressAutoHyphens w:val="0"/>
      <w:autoSpaceDE w:val="0"/>
      <w:autoSpaceDN w:val="0"/>
      <w:adjustRightInd w:val="0"/>
      <w:spacing w:after="0"/>
      <w:jc w:val="center"/>
    </w:pPr>
    <w:rPr>
      <w:rFonts w:ascii="Titillium Web" w:eastAsiaTheme="minorHAnsi" w:hAnsi="Titillium Web" w:cs="BkwnxrHelveticaLTCom"/>
      <w:sz w:val="24"/>
      <w:szCs w:val="24"/>
      <w:lang w:val="it-IT" w:eastAsia="en-US"/>
    </w:rPr>
  </w:style>
  <w:style w:type="character" w:customStyle="1" w:styleId="testatavarie12Carattere">
    <w:name w:val="testata_varie12 Carattere"/>
    <w:basedOn w:val="DefaultParagraphFont"/>
    <w:link w:val="testatavarie12"/>
    <w:rsid w:val="005A6355"/>
    <w:rPr>
      <w:rFonts w:ascii="Titillium Web" w:eastAsiaTheme="minorHAnsi" w:hAnsi="Titillium Web" w:cs="BkwnxrHelveticaLTCom"/>
      <w:sz w:val="24"/>
      <w:szCs w:val="24"/>
      <w:lang w:val="it-IT" w:eastAsia="en-US"/>
    </w:rPr>
  </w:style>
  <w:style w:type="paragraph" w:customStyle="1" w:styleId="PIEDIPAG14">
    <w:name w:val="PIEDIPAG14"/>
    <w:basedOn w:val="Normal"/>
    <w:link w:val="PIEDIPAG14Carattere"/>
    <w:qFormat/>
    <w:rsid w:val="005A6355"/>
    <w:pPr>
      <w:suppressAutoHyphens w:val="0"/>
      <w:autoSpaceDE w:val="0"/>
      <w:autoSpaceDN w:val="0"/>
      <w:adjustRightInd w:val="0"/>
      <w:spacing w:after="0"/>
      <w:jc w:val="center"/>
    </w:pPr>
    <w:rPr>
      <w:rFonts w:ascii="Titillium Web" w:eastAsiaTheme="minorHAnsi" w:hAnsi="Titillium Web" w:cs="BkwnxrHelveticaLTCom"/>
      <w:b/>
      <w:bCs/>
      <w:color w:val="FFFFFF" w:themeColor="background1"/>
      <w:sz w:val="28"/>
      <w:szCs w:val="28"/>
      <w:lang w:val="en-US" w:eastAsia="en-US"/>
    </w:rPr>
  </w:style>
  <w:style w:type="paragraph" w:customStyle="1" w:styleId="PIEDIPAG10">
    <w:name w:val="PIEDIPAG10"/>
    <w:basedOn w:val="testatavarie12"/>
    <w:link w:val="PIEDIPAG10Carattere"/>
    <w:qFormat/>
    <w:rsid w:val="005A6355"/>
    <w:rPr>
      <w:color w:val="FFFFFF" w:themeColor="background1"/>
    </w:rPr>
  </w:style>
  <w:style w:type="character" w:customStyle="1" w:styleId="PIEDIPAG14Carattere">
    <w:name w:val="PIEDIPAG14 Carattere"/>
    <w:basedOn w:val="DefaultParagraphFont"/>
    <w:link w:val="PIEDIPAG14"/>
    <w:rsid w:val="005A6355"/>
    <w:rPr>
      <w:rFonts w:ascii="Titillium Web" w:eastAsiaTheme="minorHAnsi" w:hAnsi="Titillium Web" w:cs="BkwnxrHelveticaLTCom"/>
      <w:b/>
      <w:bCs/>
      <w:color w:val="FFFFFF" w:themeColor="background1"/>
      <w:sz w:val="28"/>
      <w:szCs w:val="28"/>
      <w:lang w:val="en-US" w:eastAsia="en-US"/>
    </w:rPr>
  </w:style>
  <w:style w:type="character" w:customStyle="1" w:styleId="PIEDIPAG10Carattere">
    <w:name w:val="PIEDIPAG10 Carattere"/>
    <w:basedOn w:val="testatavarie12Carattere"/>
    <w:link w:val="PIEDIPAG10"/>
    <w:rsid w:val="005A6355"/>
    <w:rPr>
      <w:rFonts w:ascii="Titillium Web" w:eastAsiaTheme="minorHAnsi" w:hAnsi="Titillium Web" w:cs="BkwnxrHelveticaLTCom"/>
      <w:color w:val="FFFFFF" w:themeColor="background1"/>
      <w:sz w:val="24"/>
      <w:szCs w:val="24"/>
      <w:lang w:val="it-IT" w:eastAsia="en-US"/>
    </w:rPr>
  </w:style>
  <w:style w:type="paragraph" w:styleId="NoSpacing">
    <w:name w:val="No Spacing"/>
    <w:uiPriority w:val="1"/>
    <w:qFormat/>
    <w:rsid w:val="005A6355"/>
    <w:pPr>
      <w:suppressAutoHyphens w:val="0"/>
    </w:pPr>
    <w:rPr>
      <w:rFonts w:asciiTheme="minorHAnsi" w:eastAsiaTheme="minorHAnsi" w:hAnsiTheme="minorHAnsi" w:cstheme="minorBidi"/>
      <w:sz w:val="24"/>
      <w:szCs w:val="24"/>
      <w:lang w:val="it-IT" w:eastAsia="en-US"/>
    </w:rPr>
  </w:style>
  <w:style w:type="paragraph" w:styleId="NormalWeb">
    <w:name w:val="Normal (Web)"/>
    <w:basedOn w:val="Normal"/>
    <w:uiPriority w:val="99"/>
    <w:semiHidden/>
    <w:unhideWhenUsed/>
    <w:rsid w:val="005328B0"/>
    <w:pPr>
      <w:suppressAutoHyphens w:val="0"/>
      <w:spacing w:before="100" w:beforeAutospacing="1" w:after="100" w:afterAutospacing="1"/>
      <w:jc w:val="left"/>
    </w:pPr>
    <w:rPr>
      <w:sz w:val="24"/>
      <w:szCs w:val="24"/>
      <w:lang w:val="en-I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cp:keywords/>
  <dc:description/>
  <cp:lastModifiedBy>ZOI KOKKINI</cp:lastModifiedBy>
  <cp:revision>3</cp:revision>
  <dcterms:created xsi:type="dcterms:W3CDTF">2025-08-24T21:24:00Z</dcterms:created>
  <dcterms:modified xsi:type="dcterms:W3CDTF">2025-08-24T21:28:00Z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