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1FE13" w14:textId="60299A1D" w:rsidR="002177EE" w:rsidRDefault="002177EE">
      <w:pPr>
        <w:pStyle w:val="Titolo1"/>
      </w:pPr>
    </w:p>
    <w:p w14:paraId="53AEB434" w14:textId="77777777" w:rsidR="00AB3351" w:rsidRPr="00AB3351" w:rsidRDefault="00AB3351" w:rsidP="00AB3351">
      <w:pPr>
        <w:jc w:val="center"/>
        <w:rPr>
          <w:rFonts w:ascii="Arial" w:hAnsi="Arial" w:cs="Arial"/>
          <w:b/>
          <w:color w:val="374151"/>
          <w:sz w:val="24"/>
          <w:szCs w:val="24"/>
        </w:rPr>
      </w:pPr>
      <w:r w:rsidRPr="00AB3351">
        <w:rPr>
          <w:rFonts w:ascii="Arial" w:hAnsi="Arial" w:cs="Arial"/>
          <w:b/>
          <w:color w:val="374151"/>
          <w:sz w:val="24"/>
          <w:szCs w:val="24"/>
        </w:rPr>
        <w:t>Comparison of Online and Offline XRF Techniques for Atmospheric PM10 Measurement</w:t>
      </w:r>
    </w:p>
    <w:p w14:paraId="2249D52A" w14:textId="77777777" w:rsidR="00AB3351" w:rsidRPr="00AB3351" w:rsidRDefault="00AB3351" w:rsidP="00AB3351">
      <w:pPr>
        <w:pStyle w:val="Titolo3"/>
        <w:rPr>
          <w:rFonts w:ascii="Arial" w:hAnsi="Arial" w:cs="Arial"/>
          <w:b/>
          <w:iCs/>
          <w:sz w:val="22"/>
          <w:szCs w:val="22"/>
          <w:lang w:val="it-IT"/>
        </w:rPr>
      </w:pPr>
      <w:r w:rsidRPr="00AB3351">
        <w:rPr>
          <w:rFonts w:ascii="Arial" w:hAnsi="Arial" w:cs="Arial"/>
          <w:b/>
          <w:iCs/>
          <w:sz w:val="22"/>
          <w:szCs w:val="22"/>
          <w:lang w:val="it-IT"/>
        </w:rPr>
        <w:t>G. Deluca</w:t>
      </w:r>
      <w:r w:rsidRPr="00AB3351">
        <w:rPr>
          <w:rFonts w:ascii="Arial" w:hAnsi="Arial" w:cs="Arial"/>
          <w:b/>
          <w:iCs/>
          <w:sz w:val="22"/>
          <w:szCs w:val="22"/>
          <w:vertAlign w:val="superscript"/>
          <w:lang w:val="it-IT"/>
        </w:rPr>
        <w:t>1</w:t>
      </w:r>
      <w:r w:rsidRPr="00AB3351">
        <w:rPr>
          <w:rFonts w:ascii="Arial" w:hAnsi="Arial" w:cs="Arial"/>
          <w:b/>
          <w:iCs/>
          <w:sz w:val="22"/>
          <w:szCs w:val="22"/>
          <w:lang w:val="it-IT"/>
        </w:rPr>
        <w:t>, E. Bloise</w:t>
      </w:r>
      <w:r w:rsidRPr="00AB3351">
        <w:rPr>
          <w:rFonts w:ascii="Arial" w:hAnsi="Arial" w:cs="Arial"/>
          <w:b/>
          <w:iCs/>
          <w:sz w:val="22"/>
          <w:szCs w:val="22"/>
          <w:vertAlign w:val="superscript"/>
          <w:lang w:val="it-IT"/>
        </w:rPr>
        <w:t>1</w:t>
      </w:r>
      <w:r w:rsidRPr="00AB3351">
        <w:rPr>
          <w:rFonts w:ascii="Arial" w:hAnsi="Arial" w:cs="Arial"/>
          <w:b/>
          <w:iCs/>
          <w:sz w:val="22"/>
          <w:szCs w:val="22"/>
          <w:lang w:val="it-IT"/>
        </w:rPr>
        <w:t>, D. Cesari</w:t>
      </w:r>
      <w:r w:rsidRPr="00AB3351">
        <w:rPr>
          <w:rFonts w:ascii="Arial" w:hAnsi="Arial" w:cs="Arial"/>
          <w:b/>
          <w:iCs/>
          <w:sz w:val="22"/>
          <w:szCs w:val="22"/>
          <w:vertAlign w:val="superscript"/>
          <w:lang w:val="it-IT"/>
        </w:rPr>
        <w:t>1</w:t>
      </w:r>
      <w:r w:rsidRPr="00AB3351">
        <w:rPr>
          <w:rFonts w:ascii="Arial" w:hAnsi="Arial" w:cs="Arial"/>
          <w:b/>
          <w:iCs/>
          <w:sz w:val="22"/>
          <w:szCs w:val="22"/>
          <w:lang w:val="it-IT"/>
        </w:rPr>
        <w:t>,</w:t>
      </w:r>
      <w:r w:rsidRPr="00AB3351">
        <w:rPr>
          <w:rFonts w:ascii="Arial" w:hAnsi="Arial" w:cs="Arial"/>
          <w:b/>
          <w:iCs/>
          <w:sz w:val="22"/>
          <w:szCs w:val="22"/>
          <w:vertAlign w:val="superscript"/>
          <w:lang w:val="it-IT"/>
        </w:rPr>
        <w:t xml:space="preserve"> </w:t>
      </w:r>
      <w:r w:rsidRPr="00AB3351">
        <w:rPr>
          <w:rFonts w:ascii="Arial" w:hAnsi="Arial" w:cs="Arial"/>
          <w:b/>
          <w:iCs/>
          <w:sz w:val="22"/>
          <w:szCs w:val="22"/>
          <w:lang w:val="it-IT"/>
        </w:rPr>
        <w:t>A. Dinoi</w:t>
      </w:r>
      <w:r w:rsidRPr="00AB3351">
        <w:rPr>
          <w:rFonts w:ascii="Arial" w:hAnsi="Arial" w:cs="Arial"/>
          <w:b/>
          <w:iCs/>
          <w:sz w:val="22"/>
          <w:szCs w:val="22"/>
          <w:vertAlign w:val="superscript"/>
          <w:lang w:val="it-IT"/>
        </w:rPr>
        <w:t>1</w:t>
      </w:r>
      <w:r w:rsidRPr="00AB3351">
        <w:rPr>
          <w:rFonts w:ascii="Arial" w:hAnsi="Arial" w:cs="Arial"/>
          <w:b/>
          <w:iCs/>
          <w:sz w:val="22"/>
          <w:szCs w:val="22"/>
          <w:lang w:val="it-IT"/>
        </w:rPr>
        <w:t>, A. Pennetta</w:t>
      </w:r>
      <w:r w:rsidRPr="00AB3351">
        <w:rPr>
          <w:rFonts w:ascii="Arial" w:hAnsi="Arial" w:cs="Arial"/>
          <w:b/>
          <w:iCs/>
          <w:sz w:val="22"/>
          <w:szCs w:val="22"/>
          <w:vertAlign w:val="superscript"/>
          <w:lang w:val="it-IT"/>
        </w:rPr>
        <w:t>1</w:t>
      </w:r>
      <w:r w:rsidRPr="00AB3351">
        <w:rPr>
          <w:rFonts w:ascii="Arial" w:hAnsi="Arial" w:cs="Arial"/>
          <w:b/>
          <w:iCs/>
          <w:sz w:val="22"/>
          <w:szCs w:val="22"/>
          <w:lang w:val="it-IT"/>
        </w:rPr>
        <w:t>, S. Potì</w:t>
      </w:r>
      <w:r w:rsidRPr="00AB3351">
        <w:rPr>
          <w:rFonts w:ascii="Arial" w:hAnsi="Arial" w:cs="Arial"/>
          <w:b/>
          <w:iCs/>
          <w:sz w:val="22"/>
          <w:szCs w:val="22"/>
          <w:vertAlign w:val="superscript"/>
          <w:lang w:val="it-IT"/>
        </w:rPr>
        <w:t>2</w:t>
      </w:r>
      <w:r w:rsidRPr="00AB3351">
        <w:rPr>
          <w:rFonts w:ascii="Arial" w:hAnsi="Arial" w:cs="Arial"/>
          <w:b/>
          <w:iCs/>
          <w:sz w:val="22"/>
          <w:szCs w:val="22"/>
          <w:lang w:val="it-IT"/>
        </w:rPr>
        <w:t>, P. Semeraro</w:t>
      </w:r>
      <w:r w:rsidRPr="00AB3351">
        <w:rPr>
          <w:rFonts w:ascii="Arial" w:hAnsi="Arial" w:cs="Arial"/>
          <w:b/>
          <w:iCs/>
          <w:sz w:val="22"/>
          <w:szCs w:val="22"/>
          <w:vertAlign w:val="superscript"/>
          <w:lang w:val="it-IT"/>
        </w:rPr>
        <w:t>1</w:t>
      </w:r>
      <w:r w:rsidRPr="00AB3351">
        <w:rPr>
          <w:rFonts w:ascii="Arial" w:hAnsi="Arial" w:cs="Arial"/>
          <w:b/>
          <w:iCs/>
          <w:sz w:val="22"/>
          <w:szCs w:val="22"/>
          <w:lang w:val="it-IT"/>
        </w:rPr>
        <w:t>, F. Unga</w:t>
      </w:r>
      <w:r w:rsidRPr="00AB3351">
        <w:rPr>
          <w:rFonts w:ascii="Arial" w:hAnsi="Arial" w:cs="Arial"/>
          <w:b/>
          <w:iCs/>
          <w:sz w:val="22"/>
          <w:szCs w:val="22"/>
          <w:vertAlign w:val="superscript"/>
          <w:lang w:val="it-IT"/>
        </w:rPr>
        <w:t>1</w:t>
      </w:r>
      <w:r w:rsidRPr="00AB3351">
        <w:rPr>
          <w:rFonts w:ascii="Arial" w:hAnsi="Arial" w:cs="Arial"/>
          <w:b/>
          <w:iCs/>
          <w:sz w:val="22"/>
          <w:szCs w:val="22"/>
          <w:lang w:val="it-IT"/>
        </w:rPr>
        <w:t>, D. Contini</w:t>
      </w:r>
      <w:r w:rsidRPr="00AB3351">
        <w:rPr>
          <w:rFonts w:ascii="Arial" w:hAnsi="Arial" w:cs="Arial"/>
          <w:b/>
          <w:iCs/>
          <w:sz w:val="22"/>
          <w:szCs w:val="22"/>
          <w:vertAlign w:val="superscript"/>
          <w:lang w:val="it-IT"/>
        </w:rPr>
        <w:t>1</w:t>
      </w:r>
    </w:p>
    <w:p w14:paraId="02EFE88D" w14:textId="77777777" w:rsidR="00AB3351" w:rsidRPr="00DC1258" w:rsidRDefault="00AB3351" w:rsidP="00AB3351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  <w:lang w:val="it-IT"/>
        </w:rPr>
      </w:pPr>
    </w:p>
    <w:p w14:paraId="48B911FC" w14:textId="77777777" w:rsidR="00AB3351" w:rsidRPr="00563768" w:rsidRDefault="00AB3351" w:rsidP="00AB3351">
      <w:pPr>
        <w:pStyle w:val="Normale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63768">
        <w:rPr>
          <w:sz w:val="20"/>
          <w:szCs w:val="20"/>
          <w:vertAlign w:val="superscript"/>
        </w:rPr>
        <w:t>1</w:t>
      </w:r>
      <w:r w:rsidRPr="00563768">
        <w:rPr>
          <w:color w:val="000000"/>
          <w:sz w:val="20"/>
          <w:szCs w:val="20"/>
        </w:rPr>
        <w:t xml:space="preserve"> Institute of Atmospheric Sciences and Climate, ISAC-CNR, Lecce, 73100, Italy</w:t>
      </w:r>
    </w:p>
    <w:p w14:paraId="7EF3C331" w14:textId="77777777" w:rsidR="00AB3351" w:rsidRPr="00563768" w:rsidRDefault="00AB3351" w:rsidP="00AB3351">
      <w:pPr>
        <w:pStyle w:val="NormaleWeb"/>
        <w:spacing w:before="0" w:beforeAutospacing="0" w:after="0" w:afterAutospacing="0"/>
        <w:jc w:val="center"/>
        <w:rPr>
          <w:color w:val="000000"/>
          <w:sz w:val="20"/>
          <w:szCs w:val="20"/>
          <w:lang w:val="en-GB"/>
        </w:rPr>
      </w:pPr>
      <w:r w:rsidRPr="00563768">
        <w:rPr>
          <w:color w:val="000000"/>
          <w:sz w:val="20"/>
          <w:szCs w:val="20"/>
          <w:vertAlign w:val="superscript"/>
        </w:rPr>
        <w:t>2</w:t>
      </w:r>
      <w:r w:rsidRPr="00563768">
        <w:rPr>
          <w:color w:val="000000"/>
          <w:sz w:val="20"/>
          <w:szCs w:val="20"/>
        </w:rPr>
        <w:t xml:space="preserve"> </w:t>
      </w:r>
      <w:r w:rsidRPr="00563768">
        <w:rPr>
          <w:color w:val="000000"/>
          <w:sz w:val="20"/>
          <w:szCs w:val="20"/>
          <w:lang w:val="en-GB"/>
        </w:rPr>
        <w:t>Department of Engineering for Innovation, University of Salento, Lecce, 73100, Italy</w:t>
      </w:r>
    </w:p>
    <w:p w14:paraId="4CAC415A" w14:textId="77777777" w:rsidR="004C2708" w:rsidRDefault="00AB3351" w:rsidP="004C2708">
      <w:pPr>
        <w:pStyle w:val="Titolo3"/>
        <w:rPr>
          <w:sz w:val="18"/>
          <w:szCs w:val="18"/>
        </w:rPr>
      </w:pPr>
      <w:r>
        <w:t>giuseppedeluca1@cnr.it</w:t>
      </w:r>
      <w:r w:rsidR="007F6533">
        <w:t xml:space="preserve"> </w:t>
      </w:r>
      <w:r w:rsidR="007F6533">
        <w:rPr>
          <w:lang w:eastAsia="de-DE"/>
        </w:rPr>
        <w:br/>
      </w:r>
    </w:p>
    <w:p w14:paraId="219D043C" w14:textId="723C115D" w:rsidR="00843E21" w:rsidRDefault="00843E21" w:rsidP="00843E21">
      <w:pPr>
        <w:pStyle w:val="NormaleWeb"/>
        <w:rPr>
          <w:sz w:val="20"/>
          <w:szCs w:val="20"/>
        </w:rPr>
      </w:pPr>
      <w:r w:rsidRPr="00843E21">
        <w:rPr>
          <w:sz w:val="20"/>
          <w:szCs w:val="20"/>
        </w:rPr>
        <w:t>The negative impact of atmospheric particulate matter (PM) on human health has driven research toward its chemical and elemental characterization, essential for identifying pollution sources</w:t>
      </w:r>
      <w:r w:rsidR="00AA5C61">
        <w:rPr>
          <w:sz w:val="20"/>
          <w:szCs w:val="20"/>
        </w:rPr>
        <w:t xml:space="preserve"> </w:t>
      </w:r>
      <w:r>
        <w:rPr>
          <w:sz w:val="20"/>
          <w:szCs w:val="20"/>
        </w:rPr>
        <w:t>[1]</w:t>
      </w:r>
      <w:r w:rsidRPr="00843E21">
        <w:rPr>
          <w:sz w:val="20"/>
          <w:szCs w:val="20"/>
        </w:rPr>
        <w:t>.</w:t>
      </w:r>
    </w:p>
    <w:p w14:paraId="40240112" w14:textId="79A48088" w:rsidR="00843E21" w:rsidRPr="00843E21" w:rsidRDefault="00843E21" w:rsidP="00843E21">
      <w:pPr>
        <w:pStyle w:val="NormaleWeb"/>
        <w:rPr>
          <w:sz w:val="20"/>
          <w:szCs w:val="20"/>
        </w:rPr>
      </w:pPr>
      <w:r w:rsidRPr="00843E21">
        <w:rPr>
          <w:sz w:val="20"/>
          <w:szCs w:val="20"/>
        </w:rPr>
        <w:t xml:space="preserve"> Energy dispersive X-ray fluorescence (ED-XRF) is widely used for elemental analysis of PM due to its non-destructive nature and lack of sample pre-treatment. While typically applied to Teflon filters, quartz filters are often preferred in monitoring campaigns, as they support additional analyses (e.g., organic and elemen</w:t>
      </w:r>
      <w:bookmarkStart w:id="0" w:name="_GoBack"/>
      <w:bookmarkEnd w:id="0"/>
      <w:r w:rsidRPr="00843E21">
        <w:rPr>
          <w:sz w:val="20"/>
          <w:szCs w:val="20"/>
        </w:rPr>
        <w:t>tal carbon, water-soluble species) and are easier to subdivide. Recent studies confirm the reliability of quartz filters for ED-XRF analysis</w:t>
      </w:r>
      <w:r w:rsidR="00AA5C61">
        <w:rPr>
          <w:sz w:val="20"/>
          <w:szCs w:val="20"/>
        </w:rPr>
        <w:t xml:space="preserve"> [2]</w:t>
      </w:r>
      <w:r>
        <w:rPr>
          <w:sz w:val="20"/>
          <w:szCs w:val="20"/>
        </w:rPr>
        <w:t>.</w:t>
      </w:r>
    </w:p>
    <w:p w14:paraId="4049E75B" w14:textId="77777777" w:rsidR="00843E21" w:rsidRPr="00843E21" w:rsidRDefault="00843E21" w:rsidP="00843E21">
      <w:pPr>
        <w:pStyle w:val="NormaleWeb"/>
        <w:rPr>
          <w:sz w:val="20"/>
          <w:szCs w:val="20"/>
        </w:rPr>
      </w:pPr>
      <w:r w:rsidRPr="00843E21">
        <w:rPr>
          <w:sz w:val="20"/>
          <w:szCs w:val="20"/>
        </w:rPr>
        <w:t>This study compares elemental data from two ED-XRF systems: an online instrument (</w:t>
      </w:r>
      <w:proofErr w:type="spellStart"/>
      <w:r w:rsidRPr="00843E21">
        <w:rPr>
          <w:sz w:val="20"/>
          <w:szCs w:val="20"/>
        </w:rPr>
        <w:t>Xact</w:t>
      </w:r>
      <w:proofErr w:type="spellEnd"/>
      <w:r w:rsidRPr="00843E21">
        <w:rPr>
          <w:sz w:val="20"/>
          <w:szCs w:val="20"/>
        </w:rPr>
        <w:t xml:space="preserve">® 625i) using Teflon tape, and an offline benchtop ED-XRF (XEPOS05, </w:t>
      </w:r>
      <w:proofErr w:type="spellStart"/>
      <w:r w:rsidRPr="00843E21">
        <w:rPr>
          <w:sz w:val="20"/>
          <w:szCs w:val="20"/>
        </w:rPr>
        <w:t>Spectro</w:t>
      </w:r>
      <w:proofErr w:type="spellEnd"/>
      <w:r w:rsidRPr="00843E21">
        <w:rPr>
          <w:sz w:val="20"/>
          <w:szCs w:val="20"/>
        </w:rPr>
        <w:t xml:space="preserve">) analyzing quartz filters. The </w:t>
      </w:r>
      <w:proofErr w:type="spellStart"/>
      <w:r w:rsidRPr="00843E21">
        <w:rPr>
          <w:sz w:val="20"/>
          <w:szCs w:val="20"/>
        </w:rPr>
        <w:t>Xact</w:t>
      </w:r>
      <w:proofErr w:type="spellEnd"/>
      <w:r w:rsidRPr="00843E21">
        <w:rPr>
          <w:sz w:val="20"/>
          <w:szCs w:val="20"/>
        </w:rPr>
        <w:t>® 625i, operating at the Environmental-Climate Observatory (ECO, part of the ACTRIS network), provides near real-time elemental composition data with a 3-hour resolution. It collects PM₁₀ at 16.7 L/min and analyzes samples directly, delivering results within approximately 6 hours. It is also equipped with a meteorological station, enabling potential correlation between meteorological parameters and elemental concentrations for source apportionment.</w:t>
      </w:r>
    </w:p>
    <w:p w14:paraId="6E3D6366" w14:textId="6C17D646" w:rsidR="00843E21" w:rsidRPr="00843E21" w:rsidRDefault="00843E21" w:rsidP="00843E21">
      <w:pPr>
        <w:pStyle w:val="NormaleWeb"/>
        <w:rPr>
          <w:sz w:val="20"/>
          <w:szCs w:val="20"/>
        </w:rPr>
      </w:pPr>
      <w:r w:rsidRPr="00843E21">
        <w:rPr>
          <w:sz w:val="20"/>
          <w:szCs w:val="20"/>
        </w:rPr>
        <w:t>Simultaneously, daily offline sampling is performed at ECO using a dual-channel SWAM sampler (Fai Instruments, 2.3 m³ h⁻¹), which also provides mass concentration via β-</w:t>
      </w:r>
      <w:r w:rsidR="000B0066" w:rsidRPr="00843E21">
        <w:rPr>
          <w:sz w:val="20"/>
          <w:szCs w:val="20"/>
        </w:rPr>
        <w:t>attenuation</w:t>
      </w:r>
      <w:r w:rsidR="000B0066">
        <w:rPr>
          <w:sz w:val="20"/>
          <w:szCs w:val="20"/>
        </w:rPr>
        <w:t xml:space="preserve"> [</w:t>
      </w:r>
      <w:r w:rsidR="00AA5C61">
        <w:rPr>
          <w:sz w:val="20"/>
          <w:szCs w:val="20"/>
        </w:rPr>
        <w:t>3]</w:t>
      </w:r>
      <w:r w:rsidRPr="00843E21">
        <w:rPr>
          <w:sz w:val="20"/>
          <w:szCs w:val="20"/>
        </w:rPr>
        <w:t>. Filters collected on quartz are analyzed for elemental composition using the benchtop ED-XRF system.</w:t>
      </w:r>
    </w:p>
    <w:p w14:paraId="441B3BFC" w14:textId="77777777" w:rsidR="00843E21" w:rsidRPr="00843E21" w:rsidRDefault="00843E21" w:rsidP="00843E21">
      <w:pPr>
        <w:pStyle w:val="NormaleWeb"/>
        <w:rPr>
          <w:sz w:val="20"/>
          <w:szCs w:val="20"/>
        </w:rPr>
      </w:pPr>
      <w:r w:rsidRPr="00843E21">
        <w:rPr>
          <w:sz w:val="20"/>
          <w:szCs w:val="20"/>
        </w:rPr>
        <w:t xml:space="preserve">Daily-averaged </w:t>
      </w:r>
      <w:proofErr w:type="spellStart"/>
      <w:r w:rsidRPr="00843E21">
        <w:rPr>
          <w:sz w:val="20"/>
          <w:szCs w:val="20"/>
        </w:rPr>
        <w:t>Xact</w:t>
      </w:r>
      <w:proofErr w:type="spellEnd"/>
      <w:r w:rsidRPr="00843E21">
        <w:rPr>
          <w:sz w:val="20"/>
          <w:szCs w:val="20"/>
        </w:rPr>
        <w:t xml:space="preserve"> measurements will be compared to corresponding offline data to validate the online system. While the benchtop ED-XRF is well-established, the online system offers continuous, faster data access—avoiding delays due to filter handling and analysis.</w:t>
      </w:r>
    </w:p>
    <w:p w14:paraId="63D91D2B" w14:textId="77777777" w:rsidR="00843E21" w:rsidRPr="00843E21" w:rsidRDefault="00843E21" w:rsidP="00843E21">
      <w:pPr>
        <w:pStyle w:val="NormaleWeb"/>
        <w:rPr>
          <w:sz w:val="20"/>
          <w:szCs w:val="20"/>
        </w:rPr>
      </w:pPr>
      <w:r w:rsidRPr="00843E21">
        <w:rPr>
          <w:sz w:val="20"/>
          <w:szCs w:val="20"/>
        </w:rPr>
        <w:t>Additionally, we present the first high-time-resolution elemental data series from ECO, focusing on tracers of sources such as African dust, biomass burning, road traffic, and fireworks.</w:t>
      </w:r>
    </w:p>
    <w:p w14:paraId="2BB6073B" w14:textId="5DEF9EC3" w:rsidR="00843E21" w:rsidRPr="00AA5C61" w:rsidRDefault="00843E21" w:rsidP="00843E21">
      <w:pPr>
        <w:pStyle w:val="NormaleWeb"/>
        <w:rPr>
          <w:sz w:val="20"/>
          <w:szCs w:val="20"/>
        </w:rPr>
      </w:pPr>
      <w:r w:rsidRPr="00843E21">
        <w:rPr>
          <w:sz w:val="20"/>
          <w:szCs w:val="20"/>
        </w:rPr>
        <w:t>The work is co-funded by the European Union – Next Generation EU, Project ITINERIS (IR0000032).</w:t>
      </w:r>
    </w:p>
    <w:p w14:paraId="420BD46A" w14:textId="1F54BA23" w:rsidR="00843E21" w:rsidRPr="00AA5C61" w:rsidRDefault="00843E21" w:rsidP="00843E21">
      <w:pPr>
        <w:pStyle w:val="NormaleWeb"/>
        <w:rPr>
          <w:b/>
          <w:color w:val="000000"/>
          <w:sz w:val="20"/>
          <w:szCs w:val="20"/>
        </w:rPr>
      </w:pPr>
      <w:r w:rsidRPr="00AA5C61">
        <w:rPr>
          <w:b/>
          <w:color w:val="000000"/>
          <w:sz w:val="20"/>
          <w:szCs w:val="20"/>
        </w:rPr>
        <w:t>REFERENCES:</w:t>
      </w:r>
    </w:p>
    <w:p w14:paraId="16B86044" w14:textId="204995FD" w:rsidR="00843E21" w:rsidRPr="00843E21" w:rsidRDefault="00843E21" w:rsidP="00843E21">
      <w:pPr>
        <w:pStyle w:val="NormaleWeb"/>
        <w:rPr>
          <w:color w:val="000000"/>
          <w:sz w:val="20"/>
          <w:szCs w:val="20"/>
        </w:rPr>
      </w:pPr>
      <w:r w:rsidRPr="00843E21">
        <w:rPr>
          <w:color w:val="000000"/>
          <w:sz w:val="20"/>
          <w:szCs w:val="20"/>
        </w:rPr>
        <w:t xml:space="preserve">1 </w:t>
      </w:r>
      <w:proofErr w:type="spellStart"/>
      <w:r w:rsidRPr="00843E21">
        <w:rPr>
          <w:color w:val="000000"/>
          <w:sz w:val="20"/>
          <w:szCs w:val="20"/>
        </w:rPr>
        <w:t>Viana</w:t>
      </w:r>
      <w:proofErr w:type="spellEnd"/>
      <w:r w:rsidRPr="00843E21">
        <w:rPr>
          <w:color w:val="000000"/>
          <w:sz w:val="20"/>
          <w:szCs w:val="20"/>
        </w:rPr>
        <w:t>, M., et al., Source apportionment of particulate matter in Europe: A review of methods and results. Journal of Aerosol Science, 2008. 39(10): p. 827-849.</w:t>
      </w:r>
    </w:p>
    <w:p w14:paraId="4CC1514B" w14:textId="77777777" w:rsidR="0033448A" w:rsidRDefault="00843E21" w:rsidP="00843E21">
      <w:pPr>
        <w:pStyle w:val="NormaleWeb"/>
        <w:rPr>
          <w:color w:val="000000"/>
          <w:sz w:val="20"/>
          <w:szCs w:val="20"/>
        </w:rPr>
      </w:pPr>
      <w:r w:rsidRPr="00843E21">
        <w:rPr>
          <w:color w:val="000000"/>
          <w:sz w:val="20"/>
          <w:szCs w:val="20"/>
        </w:rPr>
        <w:t xml:space="preserve">2 </w:t>
      </w:r>
      <w:proofErr w:type="spellStart"/>
      <w:r w:rsidRPr="00843E21">
        <w:rPr>
          <w:color w:val="000000"/>
          <w:sz w:val="20"/>
          <w:szCs w:val="20"/>
        </w:rPr>
        <w:t>Unga</w:t>
      </w:r>
      <w:proofErr w:type="spellEnd"/>
      <w:r w:rsidRPr="00843E21">
        <w:rPr>
          <w:color w:val="000000"/>
          <w:sz w:val="20"/>
          <w:szCs w:val="20"/>
        </w:rPr>
        <w:t>, F., et al., Determination of aerosol composition by ED-XRF on Teflon and quartz substrates: potentialities and limits. Aerosol Research, 2025. 3(2): p. 405-415</w:t>
      </w:r>
    </w:p>
    <w:p w14:paraId="6E6CC40B" w14:textId="67AF579F" w:rsidR="00843E21" w:rsidRPr="00843E21" w:rsidRDefault="00843E21" w:rsidP="00843E21">
      <w:pPr>
        <w:pStyle w:val="NormaleWeb"/>
        <w:rPr>
          <w:color w:val="000000"/>
          <w:sz w:val="20"/>
          <w:szCs w:val="20"/>
        </w:rPr>
      </w:pPr>
      <w:r w:rsidRPr="00843E21">
        <w:rPr>
          <w:color w:val="000000"/>
          <w:sz w:val="20"/>
          <w:szCs w:val="20"/>
        </w:rPr>
        <w:t xml:space="preserve">3 </w:t>
      </w:r>
      <w:proofErr w:type="spellStart"/>
      <w:r w:rsidRPr="00843E21">
        <w:rPr>
          <w:color w:val="000000"/>
          <w:sz w:val="20"/>
          <w:szCs w:val="20"/>
        </w:rPr>
        <w:t>Dinoi</w:t>
      </w:r>
      <w:proofErr w:type="spellEnd"/>
      <w:r w:rsidRPr="00843E21">
        <w:rPr>
          <w:color w:val="000000"/>
          <w:sz w:val="20"/>
          <w:szCs w:val="20"/>
        </w:rPr>
        <w:t>, A., et al., Characterization of aerosol and its oxidative potential in a coastal semi-rural site of Southern Italy. Atmospheric Environment, 2024. 333: p. 120656.</w:t>
      </w:r>
    </w:p>
    <w:p w14:paraId="16F9A667" w14:textId="77777777" w:rsidR="00843E21" w:rsidRDefault="00843E21" w:rsidP="00843E21">
      <w:pPr>
        <w:pStyle w:val="NormaleWeb"/>
        <w:rPr>
          <w:sz w:val="20"/>
          <w:szCs w:val="20"/>
        </w:rPr>
      </w:pPr>
    </w:p>
    <w:p w14:paraId="3ADD27ED" w14:textId="77777777" w:rsidR="00843E21" w:rsidRPr="00843E21" w:rsidRDefault="00843E21" w:rsidP="00843E21">
      <w:pPr>
        <w:pStyle w:val="NormaleWeb"/>
        <w:rPr>
          <w:sz w:val="20"/>
          <w:szCs w:val="20"/>
        </w:rPr>
      </w:pPr>
    </w:p>
    <w:p w14:paraId="0A88A0C2" w14:textId="7014CC1D" w:rsidR="006706F6" w:rsidRPr="00F20EDE" w:rsidRDefault="008638B1" w:rsidP="00F20EDE">
      <w:r w:rsidRPr="00F14906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7EE46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F14906" w:rsidRPr="00F14906">
        <w:rPr>
          <w:b/>
          <w:bCs/>
        </w:rPr>
        <w:t xml:space="preserve">Keywords: </w:t>
      </w:r>
      <w:r w:rsidR="00AB3351" w:rsidRPr="00AB3351">
        <w:rPr>
          <w:b/>
          <w:bCs/>
        </w:rPr>
        <w:t xml:space="preserve">XRF </w:t>
      </w:r>
      <w:proofErr w:type="spellStart"/>
      <w:r w:rsidR="00AB3351" w:rsidRPr="00AB3351">
        <w:rPr>
          <w:b/>
          <w:bCs/>
        </w:rPr>
        <w:t>intercomparison</w:t>
      </w:r>
      <w:proofErr w:type="spellEnd"/>
      <w:r w:rsidR="00AB3351" w:rsidRPr="00AB3351">
        <w:rPr>
          <w:b/>
          <w:bCs/>
        </w:rPr>
        <w:t>, PM10, online measurement</w:t>
      </w:r>
    </w:p>
    <w:p w14:paraId="674716A7" w14:textId="77777777" w:rsidR="00A834F0" w:rsidRPr="00A834F0" w:rsidRDefault="00A834F0" w:rsidP="00A834F0"/>
    <w:p w14:paraId="730B0467" w14:textId="77777777" w:rsidR="00A834F0" w:rsidRPr="00A834F0" w:rsidRDefault="00A834F0" w:rsidP="00A834F0"/>
    <w:p w14:paraId="2BD8396D" w14:textId="77777777" w:rsidR="00A834F0" w:rsidRPr="00A834F0" w:rsidRDefault="00A834F0" w:rsidP="00A834F0"/>
    <w:p w14:paraId="014D2BD2" w14:textId="77777777" w:rsidR="00A834F0" w:rsidRPr="00A834F0" w:rsidRDefault="00A834F0" w:rsidP="00A834F0"/>
    <w:p w14:paraId="1DDBFCA2" w14:textId="77777777" w:rsidR="00A834F0" w:rsidRPr="00A834F0" w:rsidRDefault="00A834F0" w:rsidP="00A834F0"/>
    <w:p w14:paraId="58137074" w14:textId="77777777" w:rsidR="00A834F0" w:rsidRPr="00A834F0" w:rsidRDefault="00A834F0" w:rsidP="00A834F0"/>
    <w:p w14:paraId="020CA788" w14:textId="77777777" w:rsidR="00A834F0" w:rsidRPr="00A834F0" w:rsidRDefault="00A834F0" w:rsidP="00A834F0"/>
    <w:p w14:paraId="6BE38D15" w14:textId="77777777" w:rsidR="00A834F0" w:rsidRPr="00A834F0" w:rsidRDefault="00A834F0" w:rsidP="00A834F0"/>
    <w:p w14:paraId="3C7ECC3C" w14:textId="77777777" w:rsidR="00A834F0" w:rsidRPr="00A834F0" w:rsidRDefault="00A834F0" w:rsidP="00A834F0"/>
    <w:p w14:paraId="7DF23F5C" w14:textId="77777777" w:rsidR="00A834F0" w:rsidRDefault="00A834F0" w:rsidP="00A834F0">
      <w:pPr>
        <w:rPr>
          <w:b/>
          <w:bCs/>
        </w:rPr>
      </w:pPr>
    </w:p>
    <w:p w14:paraId="2B499DD7" w14:textId="77777777" w:rsidR="00A834F0" w:rsidRPr="00F20EDE" w:rsidRDefault="00A834F0" w:rsidP="00F20EDE">
      <w:pPr>
        <w:rPr>
          <w:i/>
        </w:rPr>
      </w:pPr>
    </w:p>
    <w:sectPr w:rsidR="00A834F0" w:rsidRPr="00F20EDE" w:rsidSect="00F20EDE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4BC3D" w14:textId="77777777" w:rsidR="006856C4" w:rsidRDefault="006856C4">
      <w:pPr>
        <w:spacing w:after="0"/>
      </w:pPr>
      <w:r>
        <w:separator/>
      </w:r>
    </w:p>
  </w:endnote>
  <w:endnote w:type="continuationSeparator" w:id="0">
    <w:p w14:paraId="75C7C62E" w14:textId="77777777" w:rsidR="006856C4" w:rsidRDefault="00685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E397" w14:textId="0213B40D" w:rsidR="00A834F0" w:rsidRPr="00F20EDE" w:rsidRDefault="00A834F0" w:rsidP="00F20EDE">
    <w:pPr>
      <w:pStyle w:val="Pidipagina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="0033448A">
      <w:rPr>
        <w:i/>
        <w:iCs/>
        <w:caps/>
        <w:noProof/>
        <w:color w:val="000000" w:themeColor="text1"/>
      </w:rPr>
      <w:t>2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63214" w14:textId="77777777" w:rsidR="006856C4" w:rsidRDefault="006856C4">
      <w:pPr>
        <w:spacing w:after="0"/>
      </w:pPr>
      <w:r>
        <w:separator/>
      </w:r>
    </w:p>
  </w:footnote>
  <w:footnote w:type="continuationSeparator" w:id="0">
    <w:p w14:paraId="44BE38E1" w14:textId="77777777" w:rsidR="006856C4" w:rsidRDefault="006856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  <w:lang w:val="en-US" w:eastAsia="en-US"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F6"/>
    <w:rsid w:val="000137D7"/>
    <w:rsid w:val="00050CE0"/>
    <w:rsid w:val="000A77D2"/>
    <w:rsid w:val="000B0066"/>
    <w:rsid w:val="001219CF"/>
    <w:rsid w:val="001D4750"/>
    <w:rsid w:val="001D53B8"/>
    <w:rsid w:val="001E3875"/>
    <w:rsid w:val="001E7F38"/>
    <w:rsid w:val="001F6B5D"/>
    <w:rsid w:val="002177EE"/>
    <w:rsid w:val="002250AA"/>
    <w:rsid w:val="002A79D3"/>
    <w:rsid w:val="0033448A"/>
    <w:rsid w:val="003D2510"/>
    <w:rsid w:val="004C2708"/>
    <w:rsid w:val="004D68AC"/>
    <w:rsid w:val="005A6355"/>
    <w:rsid w:val="00651068"/>
    <w:rsid w:val="006706F6"/>
    <w:rsid w:val="006856C4"/>
    <w:rsid w:val="006E1F2D"/>
    <w:rsid w:val="00754550"/>
    <w:rsid w:val="007D4B4B"/>
    <w:rsid w:val="007F6533"/>
    <w:rsid w:val="00841507"/>
    <w:rsid w:val="00843E21"/>
    <w:rsid w:val="00857B29"/>
    <w:rsid w:val="008638B1"/>
    <w:rsid w:val="00893658"/>
    <w:rsid w:val="00A834F0"/>
    <w:rsid w:val="00AA5C61"/>
    <w:rsid w:val="00AB3351"/>
    <w:rsid w:val="00AE03B9"/>
    <w:rsid w:val="00AF1DC5"/>
    <w:rsid w:val="00B0799B"/>
    <w:rsid w:val="00B11B69"/>
    <w:rsid w:val="00B441C2"/>
    <w:rsid w:val="00D51DF5"/>
    <w:rsid w:val="00DD646B"/>
    <w:rsid w:val="00F02894"/>
    <w:rsid w:val="00F07AA5"/>
    <w:rsid w:val="00F07BF4"/>
    <w:rsid w:val="00F14906"/>
    <w:rsid w:val="00F20EDE"/>
    <w:rsid w:val="00F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Carpredefinitoparagrafo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essunaspaziatura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paragraph" w:styleId="NormaleWeb">
    <w:name w:val="Normal (Web)"/>
    <w:basedOn w:val="Normale"/>
    <w:uiPriority w:val="99"/>
    <w:unhideWhenUsed/>
    <w:rsid w:val="00AB3351"/>
    <w:pPr>
      <w:suppressAutoHyphens w:val="0"/>
      <w:spacing w:before="100" w:beforeAutospacing="1" w:after="100" w:afterAutospacing="1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D7F82-232B-423C-97D7-E5709939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Giuseppe Deluca</cp:lastModifiedBy>
  <cp:revision>3</cp:revision>
  <dcterms:created xsi:type="dcterms:W3CDTF">2025-07-30T14:44:00Z</dcterms:created>
  <dcterms:modified xsi:type="dcterms:W3CDTF">2025-07-31T06:40:00Z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