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69D3A97B" w14:textId="45DD07E7" w:rsidR="00404D6A" w:rsidRPr="00404D6A" w:rsidRDefault="00404D6A" w:rsidP="00404D6A">
      <w:pPr>
        <w:pStyle w:val="Titolo1"/>
        <w:rPr>
          <w:lang w:bidi="en-US"/>
        </w:rPr>
      </w:pPr>
      <w:r w:rsidRPr="00404D6A">
        <w:rPr>
          <w:lang w:bidi="en-US"/>
        </w:rPr>
        <w:t>High time resolution measurements of equivalent black</w:t>
      </w:r>
      <w:r>
        <w:rPr>
          <w:lang w:bidi="en-US"/>
        </w:rPr>
        <w:t xml:space="preserve"> </w:t>
      </w:r>
      <w:r w:rsidRPr="00404D6A">
        <w:rPr>
          <w:lang w:bidi="en-US"/>
        </w:rPr>
        <w:t>carbon in an urban background site of Italy</w:t>
      </w:r>
    </w:p>
    <w:p w14:paraId="28389905" w14:textId="7819C5DF" w:rsidR="006706F6" w:rsidRDefault="006706F6">
      <w:pPr>
        <w:pStyle w:val="Titolo1"/>
      </w:pPr>
    </w:p>
    <w:p w14:paraId="1E5322F8" w14:textId="52CDDCC4" w:rsidR="006706F6" w:rsidRDefault="00404D6A">
      <w:pPr>
        <w:pStyle w:val="Titolo2"/>
      </w:pPr>
      <w:r>
        <w:t>D</w:t>
      </w:r>
      <w:r w:rsidR="007F6533">
        <w:t xml:space="preserve">. </w:t>
      </w:r>
      <w:r>
        <w:t>Cesari</w:t>
      </w:r>
      <w:r w:rsidR="007F6533">
        <w:rPr>
          <w:vertAlign w:val="superscript"/>
        </w:rPr>
        <w:t>1</w:t>
      </w:r>
      <w:r w:rsidR="007F6533">
        <w:t xml:space="preserve">, </w:t>
      </w:r>
      <w:r>
        <w:t>E</w:t>
      </w:r>
      <w:r w:rsidR="007F6533">
        <w:t xml:space="preserve">. </w:t>
      </w:r>
      <w:r>
        <w:t>Bloise</w:t>
      </w:r>
      <w:r w:rsidR="007F6533">
        <w:rPr>
          <w:vertAlign w:val="superscript"/>
        </w:rPr>
        <w:t>1</w:t>
      </w:r>
      <w:r w:rsidR="007F6533">
        <w:t xml:space="preserve">, </w:t>
      </w:r>
      <w:r>
        <w:t>M</w:t>
      </w:r>
      <w:r w:rsidR="007F6533">
        <w:t xml:space="preserve">. </w:t>
      </w:r>
      <w:r>
        <w:t>Conte</w:t>
      </w:r>
      <w:r w:rsidR="007F6533">
        <w:rPr>
          <w:vertAlign w:val="superscript"/>
        </w:rPr>
        <w:t>2</w:t>
      </w:r>
      <w:r>
        <w:t>, A. Dinoi</w:t>
      </w:r>
      <w:r w:rsidRPr="00404D6A">
        <w:rPr>
          <w:vertAlign w:val="superscript"/>
        </w:rPr>
        <w:t>1</w:t>
      </w:r>
      <w:r>
        <w:t>, G. Deluca</w:t>
      </w:r>
      <w:r w:rsidRPr="00404D6A">
        <w:rPr>
          <w:vertAlign w:val="superscript"/>
        </w:rPr>
        <w:t>1</w:t>
      </w:r>
      <w:r>
        <w:t>, A. Pennetta</w:t>
      </w:r>
      <w:r w:rsidRPr="00404D6A">
        <w:rPr>
          <w:vertAlign w:val="superscript"/>
        </w:rPr>
        <w:t>1</w:t>
      </w:r>
      <w:r>
        <w:t>, P. Semeraro</w:t>
      </w:r>
      <w:r w:rsidRPr="00404D6A">
        <w:rPr>
          <w:vertAlign w:val="superscript"/>
        </w:rPr>
        <w:t>1</w:t>
      </w:r>
      <w:r>
        <w:t>, D. Contini</w:t>
      </w:r>
      <w:r w:rsidRPr="00404D6A">
        <w:rPr>
          <w:vertAlign w:val="superscript"/>
        </w:rPr>
        <w:t>1</w:t>
      </w:r>
      <w:r>
        <w:t xml:space="preserve"> </w:t>
      </w:r>
    </w:p>
    <w:p w14:paraId="6861CEC9" w14:textId="2E01E746" w:rsidR="00404D6A" w:rsidRDefault="007F6533">
      <w:pPr>
        <w:pStyle w:val="Titolo3"/>
      </w:pPr>
      <w:r>
        <w:rPr>
          <w:vertAlign w:val="superscript"/>
        </w:rPr>
        <w:t>1</w:t>
      </w:r>
      <w:r w:rsidR="00404D6A">
        <w:t>Institute of Atmospheric Science and Climate, ISAC-CNR, Str. Prov. Lecce-</w:t>
      </w:r>
      <w:proofErr w:type="spellStart"/>
      <w:r w:rsidR="00404D6A">
        <w:t>Monteroni</w:t>
      </w:r>
      <w:proofErr w:type="spellEnd"/>
      <w:r w:rsidR="00404D6A">
        <w:t xml:space="preserve"> km1.2, 73100, Lecce</w:t>
      </w:r>
      <w:r>
        <w:t>,</w:t>
      </w:r>
      <w:r w:rsidR="00894DEF">
        <w:t xml:space="preserve"> Italy</w:t>
      </w:r>
    </w:p>
    <w:p w14:paraId="767148E0" w14:textId="5DBC7FEA" w:rsidR="006706F6" w:rsidRDefault="007F6533">
      <w:pPr>
        <w:pStyle w:val="Titolo3"/>
      </w:pPr>
      <w:r>
        <w:t xml:space="preserve"> </w:t>
      </w:r>
      <w:r>
        <w:rPr>
          <w:vertAlign w:val="superscript"/>
        </w:rPr>
        <w:t>2</w:t>
      </w:r>
      <w:r w:rsidR="00404D6A">
        <w:t>Institute of Atmospheric Science and Climate, ISAC-CNR,</w:t>
      </w:r>
      <w:r w:rsidR="00894DEF" w:rsidRPr="00894DEF">
        <w:rPr>
          <w:rFonts w:ascii="Palatino Linotype" w:eastAsia="SimSun" w:hAnsi="Palatino Linotype"/>
          <w:bCs w:val="0"/>
          <w:i w:val="0"/>
          <w:color w:val="000000"/>
          <w:szCs w:val="20"/>
          <w:lang w:eastAsia="zh-CN"/>
        </w:rPr>
        <w:t xml:space="preserve"> </w:t>
      </w:r>
      <w:r w:rsidR="00894DEF" w:rsidRPr="00894DEF">
        <w:t>Via Fosso del Cavaliere, 100 - 00133 Roma, Italy</w:t>
      </w:r>
    </w:p>
    <w:p w14:paraId="7305AFD5" w14:textId="1CDBD36B" w:rsidR="006706F6" w:rsidRDefault="00894DEF">
      <w:pPr>
        <w:pStyle w:val="Titolo3"/>
        <w:rPr>
          <w:sz w:val="18"/>
          <w:szCs w:val="18"/>
        </w:rPr>
      </w:pPr>
      <w:r>
        <w:t>daniela.cesari@cnr.it</w:t>
      </w:r>
      <w:r w:rsidR="007F6533">
        <w:rPr>
          <w:lang w:eastAsia="de-DE"/>
        </w:rPr>
        <w:br/>
      </w:r>
    </w:p>
    <w:p w14:paraId="3CF8A07A" w14:textId="77777777" w:rsidR="00F20EDE" w:rsidRDefault="00F20EDE" w:rsidP="00F20EDE"/>
    <w:p w14:paraId="0ED12937" w14:textId="77777777" w:rsidR="00243CB1" w:rsidRDefault="007F1650" w:rsidP="00F20EDE">
      <w:pPr>
        <w:rPr>
          <w:lang w:val="en-US" w:bidi="en-US"/>
        </w:rPr>
      </w:pPr>
      <w:r w:rsidRPr="007F1650">
        <w:rPr>
          <w:lang w:val="en-US" w:bidi="en-US"/>
        </w:rPr>
        <w:t>Carbonaceous aerosols represent a significant component of atmospheric aerosol</w:t>
      </w:r>
      <w:r w:rsidR="00243CB1">
        <w:rPr>
          <w:lang w:val="en-US" w:bidi="en-US"/>
        </w:rPr>
        <w:t>.</w:t>
      </w:r>
      <w:r w:rsidRPr="007F1650">
        <w:rPr>
          <w:lang w:val="en-US" w:bidi="en-US"/>
        </w:rPr>
        <w:t xml:space="preserve"> </w:t>
      </w:r>
      <w:r w:rsidR="00243CB1">
        <w:rPr>
          <w:lang w:val="en-US" w:bidi="en-US"/>
        </w:rPr>
        <w:t>A</w:t>
      </w:r>
      <w:r w:rsidR="00243CB1" w:rsidRPr="007F1650">
        <w:rPr>
          <w:lang w:val="en-US"/>
        </w:rPr>
        <w:t xml:space="preserve">mong them, the equivalent </w:t>
      </w:r>
      <w:r w:rsidR="00243CB1">
        <w:rPr>
          <w:lang w:val="en-US"/>
        </w:rPr>
        <w:t>b</w:t>
      </w:r>
      <w:r w:rsidR="00243CB1" w:rsidRPr="007F1650">
        <w:rPr>
          <w:lang w:val="en-US"/>
        </w:rPr>
        <w:t xml:space="preserve">lack </w:t>
      </w:r>
      <w:r w:rsidR="00243CB1">
        <w:rPr>
          <w:lang w:val="en-US"/>
        </w:rPr>
        <w:t>c</w:t>
      </w:r>
      <w:r w:rsidR="00243CB1" w:rsidRPr="007F1650">
        <w:rPr>
          <w:lang w:val="en-US"/>
        </w:rPr>
        <w:t>arbon (</w:t>
      </w:r>
      <w:proofErr w:type="spellStart"/>
      <w:r w:rsidR="00243CB1" w:rsidRPr="007F1650">
        <w:rPr>
          <w:lang w:val="en-US"/>
        </w:rPr>
        <w:t>eBC</w:t>
      </w:r>
      <w:proofErr w:type="spellEnd"/>
      <w:r w:rsidR="00243CB1" w:rsidRPr="007F1650">
        <w:rPr>
          <w:lang w:val="en-US"/>
        </w:rPr>
        <w:t xml:space="preserve">), identified as the result of optical determination of the carbon content in the </w:t>
      </w:r>
      <w:r w:rsidR="00243CB1">
        <w:rPr>
          <w:lang w:val="en-US"/>
        </w:rPr>
        <w:t>atmospheric aerosol (</w:t>
      </w:r>
      <w:r w:rsidR="00243CB1" w:rsidRPr="007F1650">
        <w:rPr>
          <w:lang w:val="en-US"/>
        </w:rPr>
        <w:t>PM</w:t>
      </w:r>
      <w:r w:rsidR="00243CB1">
        <w:rPr>
          <w:lang w:val="en-US"/>
        </w:rPr>
        <w:t>)</w:t>
      </w:r>
      <w:r w:rsidR="00243CB1" w:rsidRPr="007F1650">
        <w:rPr>
          <w:lang w:val="en-US"/>
        </w:rPr>
        <w:t>, has become a serious concern because of its detrimental impact on human health, and because it is regarded as the second most major contributor to global warming after CO</w:t>
      </w:r>
      <w:r w:rsidR="00243CB1" w:rsidRPr="007F1650">
        <w:rPr>
          <w:vertAlign w:val="subscript"/>
          <w:lang w:val="en-US"/>
        </w:rPr>
        <w:t>2</w:t>
      </w:r>
      <w:r w:rsidR="00243CB1" w:rsidRPr="007F1650">
        <w:rPr>
          <w:lang w:val="en-US"/>
        </w:rPr>
        <w:t xml:space="preserve">. </w:t>
      </w:r>
      <w:r w:rsidRPr="007F1650">
        <w:rPr>
          <w:lang w:val="en-US" w:bidi="en-US"/>
        </w:rPr>
        <w:t xml:space="preserve">Also the recent EU Directive 2024/2881 highlights the need to monitor emerging pollutants like black carbon more effectively. </w:t>
      </w:r>
    </w:p>
    <w:p w14:paraId="233C6B48" w14:textId="48BD2B98" w:rsidR="00F20EDE" w:rsidRPr="00243CB1" w:rsidRDefault="007F1650" w:rsidP="00F20EDE">
      <w:pPr>
        <w:rPr>
          <w:lang w:val="en-US" w:bidi="en-US"/>
        </w:rPr>
      </w:pPr>
      <w:r w:rsidRPr="007F1650">
        <w:rPr>
          <w:lang w:val="en-US" w:bidi="en-US"/>
        </w:rPr>
        <w:t>This study presents results from an intensive field campaign</w:t>
      </w:r>
      <w:r w:rsidR="00D84567">
        <w:rPr>
          <w:lang w:val="en-US" w:bidi="en-US"/>
        </w:rPr>
        <w:t>,</w:t>
      </w:r>
      <w:r w:rsidRPr="007F1650">
        <w:rPr>
          <w:lang w:val="en-US" w:bidi="en-US"/>
        </w:rPr>
        <w:t xml:space="preserve"> </w:t>
      </w:r>
      <w:r w:rsidR="00243CB1" w:rsidRPr="007F1650">
        <w:rPr>
          <w:lang w:val="en-US"/>
        </w:rPr>
        <w:t>between March and April 2023</w:t>
      </w:r>
      <w:r w:rsidR="00D84567">
        <w:rPr>
          <w:lang w:val="en-US"/>
        </w:rPr>
        <w:t>,</w:t>
      </w:r>
      <w:r w:rsidR="00243CB1" w:rsidRPr="007F1650">
        <w:rPr>
          <w:lang w:val="en-US"/>
        </w:rPr>
        <w:t xml:space="preserve"> </w:t>
      </w:r>
      <w:r w:rsidRPr="007F1650">
        <w:rPr>
          <w:lang w:val="en-US" w:bidi="en-US"/>
        </w:rPr>
        <w:t>at an urban background site (southern Italy), for characterizing the carbonaceous aerosols. Daily samples of PM</w:t>
      </w:r>
      <w:r w:rsidRPr="007F1650">
        <w:rPr>
          <w:vertAlign w:val="subscript"/>
          <w:lang w:val="en-US" w:bidi="en-US"/>
        </w:rPr>
        <w:t>10</w:t>
      </w:r>
      <w:r w:rsidRPr="007F1650">
        <w:rPr>
          <w:lang w:val="en-US" w:bidi="en-US"/>
        </w:rPr>
        <w:t xml:space="preserve"> and PM</w:t>
      </w:r>
      <w:r w:rsidRPr="007F1650">
        <w:rPr>
          <w:vertAlign w:val="subscript"/>
          <w:lang w:val="en-US" w:bidi="en-US"/>
        </w:rPr>
        <w:t>2.5</w:t>
      </w:r>
      <w:r w:rsidRPr="007F1650">
        <w:rPr>
          <w:lang w:val="en-US" w:bidi="en-US"/>
        </w:rPr>
        <w:t xml:space="preserve"> were analyzed using a Sunset thermal-optical analyser to determine organic and elemental carbon (OC, EC), while real-time equivalent black carbon (</w:t>
      </w:r>
      <w:proofErr w:type="spellStart"/>
      <w:r w:rsidRPr="007F1650">
        <w:rPr>
          <w:lang w:val="en-US" w:bidi="en-US"/>
        </w:rPr>
        <w:t>eBC</w:t>
      </w:r>
      <w:proofErr w:type="spellEnd"/>
      <w:r w:rsidRPr="007F1650">
        <w:rPr>
          <w:lang w:val="en-US" w:bidi="en-US"/>
        </w:rPr>
        <w:t xml:space="preserve">) was measured with three independent instruments: MAAP </w:t>
      </w:r>
      <w:r w:rsidR="006766A8" w:rsidRPr="007F1650">
        <w:rPr>
          <w:lang w:val="en-US" w:bidi="en-US"/>
        </w:rPr>
        <w:t>and Giano BC1</w:t>
      </w:r>
      <w:r w:rsidR="006766A8">
        <w:rPr>
          <w:lang w:val="en-US" w:bidi="en-US"/>
        </w:rPr>
        <w:t xml:space="preserve"> for the PM</w:t>
      </w:r>
      <w:r w:rsidR="006766A8" w:rsidRPr="006766A8">
        <w:rPr>
          <w:vertAlign w:val="subscript"/>
          <w:lang w:val="en-US" w:bidi="en-US"/>
        </w:rPr>
        <w:t>10</w:t>
      </w:r>
      <w:r w:rsidR="006766A8">
        <w:rPr>
          <w:lang w:val="en-US" w:bidi="en-US"/>
        </w:rPr>
        <w:t xml:space="preserve"> fraction, while </w:t>
      </w:r>
      <w:r w:rsidRPr="007F1650">
        <w:rPr>
          <w:lang w:val="en-US" w:bidi="en-US"/>
        </w:rPr>
        <w:t>AE33</w:t>
      </w:r>
      <w:r w:rsidR="006766A8">
        <w:rPr>
          <w:lang w:val="en-US" w:bidi="en-US"/>
        </w:rPr>
        <w:t xml:space="preserve"> for the PM</w:t>
      </w:r>
      <w:r w:rsidR="006766A8" w:rsidRPr="006766A8">
        <w:rPr>
          <w:vertAlign w:val="subscript"/>
          <w:lang w:val="en-US" w:bidi="en-US"/>
        </w:rPr>
        <w:t>2.5</w:t>
      </w:r>
      <w:r w:rsidR="006766A8">
        <w:rPr>
          <w:lang w:val="en-US" w:bidi="en-US"/>
        </w:rPr>
        <w:t xml:space="preserve"> fraction</w:t>
      </w:r>
      <w:r w:rsidRPr="007F1650">
        <w:rPr>
          <w:lang w:val="en-US" w:bidi="en-US"/>
        </w:rPr>
        <w:t>. Total carbon (TC) was monitored using an online TCA08 thermo-catalytic analyser</w:t>
      </w:r>
      <w:r w:rsidR="00243CB1" w:rsidRPr="007F1650">
        <w:rPr>
          <w:lang w:val="en-US"/>
        </w:rPr>
        <w:t xml:space="preserve">, </w:t>
      </w:r>
      <w:r w:rsidR="006766A8">
        <w:rPr>
          <w:lang w:val="en-US"/>
        </w:rPr>
        <w:t>working in together with AE33</w:t>
      </w:r>
      <w:r w:rsidR="00742513">
        <w:rPr>
          <w:lang w:val="en-US"/>
        </w:rPr>
        <w:t xml:space="preserve"> in order </w:t>
      </w:r>
      <w:r w:rsidR="00243CB1" w:rsidRPr="007F1650">
        <w:rPr>
          <w:lang w:val="en-US"/>
        </w:rPr>
        <w:t>to obtain secondary organic carbon (SOC) and primary organic carbon (POC) evaluation</w:t>
      </w:r>
      <w:r w:rsidR="00742513">
        <w:rPr>
          <w:lang w:val="en-US"/>
        </w:rPr>
        <w:t xml:space="preserve"> for PM</w:t>
      </w:r>
      <w:r w:rsidR="00742513" w:rsidRPr="00742513">
        <w:rPr>
          <w:vertAlign w:val="subscript"/>
          <w:lang w:val="en-US"/>
        </w:rPr>
        <w:t>2.5</w:t>
      </w:r>
      <w:r w:rsidR="00243CB1" w:rsidRPr="007F1650">
        <w:rPr>
          <w:lang w:val="en-US"/>
        </w:rPr>
        <w:t xml:space="preserve">. </w:t>
      </w:r>
      <w:r w:rsidRPr="007F1650">
        <w:rPr>
          <w:lang w:val="en-US" w:bidi="en-US"/>
        </w:rPr>
        <w:t>The average concentration of PM</w:t>
      </w:r>
      <w:r w:rsidRPr="007F1650">
        <w:rPr>
          <w:vertAlign w:val="subscript"/>
          <w:lang w:val="en-US" w:bidi="en-US"/>
        </w:rPr>
        <w:t>10</w:t>
      </w:r>
      <w:r w:rsidRPr="007F1650">
        <w:rPr>
          <w:lang w:val="en-US" w:bidi="en-US"/>
        </w:rPr>
        <w:t xml:space="preserve"> was 17.1 µg/m</w:t>
      </w:r>
      <w:r w:rsidRPr="007F1650">
        <w:rPr>
          <w:vertAlign w:val="superscript"/>
          <w:lang w:val="en-US" w:bidi="en-US"/>
        </w:rPr>
        <w:t>3</w:t>
      </w:r>
      <w:r w:rsidRPr="007F1650">
        <w:rPr>
          <w:lang w:val="en-US" w:bidi="en-US"/>
        </w:rPr>
        <w:t xml:space="preserve"> and 10.4 µg/m</w:t>
      </w:r>
      <w:r w:rsidRPr="007F1650">
        <w:rPr>
          <w:vertAlign w:val="superscript"/>
          <w:lang w:val="en-US" w:bidi="en-US"/>
        </w:rPr>
        <w:t>3</w:t>
      </w:r>
      <w:r w:rsidRPr="007F1650">
        <w:rPr>
          <w:lang w:val="en-US" w:bidi="en-US"/>
        </w:rPr>
        <w:t xml:space="preserve"> for PM</w:t>
      </w:r>
      <w:r w:rsidRPr="007F1650">
        <w:rPr>
          <w:vertAlign w:val="subscript"/>
          <w:lang w:val="en-US" w:bidi="en-US"/>
        </w:rPr>
        <w:t>2.5</w:t>
      </w:r>
      <w:r w:rsidRPr="007F1650">
        <w:rPr>
          <w:lang w:val="en-US" w:bidi="en-US"/>
        </w:rPr>
        <w:t>. On average, OC and EC represented 16.5% and 3.6 % of PM</w:t>
      </w:r>
      <w:r w:rsidRPr="007F1650">
        <w:rPr>
          <w:vertAlign w:val="subscript"/>
          <w:lang w:val="en-US" w:bidi="en-US"/>
        </w:rPr>
        <w:t>10</w:t>
      </w:r>
      <w:r w:rsidRPr="007F1650">
        <w:rPr>
          <w:lang w:val="en-US" w:bidi="en-US"/>
        </w:rPr>
        <w:t xml:space="preserve"> mass, and 22.6% and 5.5% of PM</w:t>
      </w:r>
      <w:r w:rsidRPr="007F1650">
        <w:rPr>
          <w:vertAlign w:val="subscript"/>
          <w:lang w:val="en-US" w:bidi="en-US"/>
        </w:rPr>
        <w:t>2.5</w:t>
      </w:r>
      <w:r w:rsidR="00243CB1">
        <w:rPr>
          <w:lang w:val="en-US" w:bidi="en-US"/>
        </w:rPr>
        <w:t>, while the SOC accounting for the 36% of the measured OC</w:t>
      </w:r>
      <w:r w:rsidR="006766A8">
        <w:rPr>
          <w:lang w:val="en-US" w:bidi="en-US"/>
        </w:rPr>
        <w:t xml:space="preserve"> in the </w:t>
      </w:r>
      <w:r w:rsidR="00742513">
        <w:rPr>
          <w:lang w:val="en-US" w:bidi="en-US"/>
        </w:rPr>
        <w:t xml:space="preserve">fine </w:t>
      </w:r>
      <w:r w:rsidR="006766A8">
        <w:rPr>
          <w:lang w:val="en-US" w:bidi="en-US"/>
        </w:rPr>
        <w:t>PM fraction</w:t>
      </w:r>
      <w:r w:rsidR="00243CB1">
        <w:rPr>
          <w:lang w:val="en-US" w:bidi="en-US"/>
        </w:rPr>
        <w:t xml:space="preserve">. </w:t>
      </w:r>
      <w:r w:rsidRPr="007F1650">
        <w:rPr>
          <w:lang w:val="en-US" w:bidi="en-US"/>
        </w:rPr>
        <w:t>The in-situ MAC, recalculated for the ECO site</w:t>
      </w:r>
      <w:r w:rsidR="00742513">
        <w:rPr>
          <w:lang w:val="en-US" w:bidi="en-US"/>
        </w:rPr>
        <w:t xml:space="preserve"> ranged</w:t>
      </w:r>
      <w:r w:rsidRPr="007F1650">
        <w:rPr>
          <w:lang w:val="en-US" w:bidi="en-US"/>
        </w:rPr>
        <w:t xml:space="preserve"> between 8.0 m</w:t>
      </w:r>
      <w:r w:rsidRPr="007F1650">
        <w:rPr>
          <w:vertAlign w:val="superscript"/>
          <w:lang w:val="en-US" w:bidi="en-US"/>
        </w:rPr>
        <w:t>2</w:t>
      </w:r>
      <w:r w:rsidRPr="007F1650">
        <w:rPr>
          <w:lang w:val="en-US" w:bidi="en-US"/>
        </w:rPr>
        <w:t>/g and 12.22 m</w:t>
      </w:r>
      <w:r w:rsidRPr="007F1650">
        <w:rPr>
          <w:vertAlign w:val="superscript"/>
          <w:lang w:val="en-US" w:bidi="en-US"/>
        </w:rPr>
        <w:t>2</w:t>
      </w:r>
      <w:r w:rsidRPr="007F1650">
        <w:rPr>
          <w:lang w:val="en-US" w:bidi="en-US"/>
        </w:rPr>
        <w:t xml:space="preserve">/g. </w:t>
      </w:r>
      <w:proofErr w:type="spellStart"/>
      <w:r w:rsidRPr="007F1650">
        <w:rPr>
          <w:lang w:val="en-US" w:bidi="en-US"/>
        </w:rPr>
        <w:t>eBC</w:t>
      </w:r>
      <w:proofErr w:type="spellEnd"/>
      <w:r w:rsidRPr="007F1650">
        <w:rPr>
          <w:lang w:val="en-US" w:bidi="en-US"/>
        </w:rPr>
        <w:t xml:space="preserve"> measurements shown a pattern modulated by both the daily evolution of the planetary boundary layer height and combustion sources (traffic and biomass burning). The apportionment of </w:t>
      </w:r>
      <w:proofErr w:type="spellStart"/>
      <w:r w:rsidRPr="007F1650">
        <w:rPr>
          <w:lang w:val="en-US" w:bidi="en-US"/>
        </w:rPr>
        <w:t>eBC</w:t>
      </w:r>
      <w:proofErr w:type="spellEnd"/>
      <w:r w:rsidRPr="007F1650">
        <w:rPr>
          <w:lang w:val="en-US" w:bidi="en-US"/>
        </w:rPr>
        <w:t xml:space="preserve"> was: 65% of fossil fuel (</w:t>
      </w:r>
      <w:proofErr w:type="spellStart"/>
      <w:r w:rsidRPr="007F1650">
        <w:rPr>
          <w:lang w:val="en-US" w:bidi="en-US"/>
        </w:rPr>
        <w:t>eBC</w:t>
      </w:r>
      <w:r w:rsidRPr="007F1650">
        <w:rPr>
          <w:vertAlign w:val="subscript"/>
          <w:lang w:val="en-US" w:bidi="en-US"/>
        </w:rPr>
        <w:t>ff</w:t>
      </w:r>
      <w:proofErr w:type="spellEnd"/>
      <w:r w:rsidRPr="007F1650">
        <w:rPr>
          <w:lang w:val="en-US" w:bidi="en-US"/>
        </w:rPr>
        <w:t>) and 35% of biomass burning contributions (</w:t>
      </w:r>
      <w:proofErr w:type="spellStart"/>
      <w:r w:rsidRPr="007F1650">
        <w:rPr>
          <w:lang w:val="en-US" w:bidi="en-US"/>
        </w:rPr>
        <w:t>eBC</w:t>
      </w:r>
      <w:r w:rsidRPr="007F1650">
        <w:rPr>
          <w:vertAlign w:val="subscript"/>
          <w:lang w:val="en-US" w:bidi="en-US"/>
        </w:rPr>
        <w:t>bb</w:t>
      </w:r>
      <w:proofErr w:type="spellEnd"/>
      <w:r w:rsidRPr="007F1650">
        <w:rPr>
          <w:lang w:val="en-US" w:bidi="en-US"/>
        </w:rPr>
        <w:t>). Biomass burning emissions are confirmed by optical measurements of brown carbon (</w:t>
      </w:r>
      <w:proofErr w:type="spellStart"/>
      <w:r w:rsidRPr="007F1650">
        <w:rPr>
          <w:lang w:val="en-US" w:bidi="en-US"/>
        </w:rPr>
        <w:t>BrC</w:t>
      </w:r>
      <w:proofErr w:type="spellEnd"/>
      <w:r w:rsidRPr="007F1650">
        <w:rPr>
          <w:lang w:val="en-US" w:bidi="en-US"/>
        </w:rPr>
        <w:t>).</w:t>
      </w:r>
    </w:p>
    <w:p w14:paraId="0B6DD039" w14:textId="77777777" w:rsidR="00F20EDE" w:rsidRDefault="00F20EDE" w:rsidP="00F20EDE">
      <w:pPr>
        <w:ind w:left="284"/>
      </w:pPr>
    </w:p>
    <w:p w14:paraId="0A88A0C2" w14:textId="6E0B1B4D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B66A9E">
        <w:rPr>
          <w:b/>
          <w:bCs/>
          <w:lang w:val="en-US"/>
        </w:rPr>
        <w:t>i</w:t>
      </w:r>
      <w:r w:rsidR="00B66A9E" w:rsidRPr="00B66A9E">
        <w:rPr>
          <w:b/>
          <w:bCs/>
          <w:lang w:val="en-US"/>
        </w:rPr>
        <w:t>n-situ MAC estimation; black carbon apportionment; brown carbon</w:t>
      </w:r>
      <w:r w:rsidR="001708E5">
        <w:rPr>
          <w:b/>
          <w:bCs/>
          <w:lang w:val="en-US"/>
        </w:rPr>
        <w:t>.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65FA" w14:textId="77777777" w:rsidR="005032D5" w:rsidRDefault="005032D5">
      <w:pPr>
        <w:spacing w:after="0"/>
      </w:pPr>
      <w:r>
        <w:separator/>
      </w:r>
    </w:p>
  </w:endnote>
  <w:endnote w:type="continuationSeparator" w:id="0">
    <w:p w14:paraId="49D409B6" w14:textId="77777777" w:rsidR="005032D5" w:rsidRDefault="005032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kwnxrHelveticaLTCom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DE9B" w14:textId="77777777" w:rsidR="005032D5" w:rsidRDefault="005032D5">
      <w:pPr>
        <w:spacing w:after="0"/>
      </w:pPr>
      <w:r>
        <w:separator/>
      </w:r>
    </w:p>
  </w:footnote>
  <w:footnote w:type="continuationSeparator" w:id="0">
    <w:p w14:paraId="5C928DB7" w14:textId="77777777" w:rsidR="005032D5" w:rsidRDefault="005032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A77D2"/>
    <w:rsid w:val="001219CF"/>
    <w:rsid w:val="001708E5"/>
    <w:rsid w:val="001D4750"/>
    <w:rsid w:val="001D53B8"/>
    <w:rsid w:val="001E3875"/>
    <w:rsid w:val="001E7F38"/>
    <w:rsid w:val="001F6B5D"/>
    <w:rsid w:val="002177EE"/>
    <w:rsid w:val="002250AA"/>
    <w:rsid w:val="00243CB1"/>
    <w:rsid w:val="00280B32"/>
    <w:rsid w:val="002A79D3"/>
    <w:rsid w:val="003D2510"/>
    <w:rsid w:val="00404D6A"/>
    <w:rsid w:val="004D68AC"/>
    <w:rsid w:val="005032D5"/>
    <w:rsid w:val="005A6355"/>
    <w:rsid w:val="00651068"/>
    <w:rsid w:val="006706F6"/>
    <w:rsid w:val="006766A8"/>
    <w:rsid w:val="006E1F2D"/>
    <w:rsid w:val="00742513"/>
    <w:rsid w:val="00754550"/>
    <w:rsid w:val="007D4B4B"/>
    <w:rsid w:val="007F1650"/>
    <w:rsid w:val="007F6533"/>
    <w:rsid w:val="00841507"/>
    <w:rsid w:val="008500EB"/>
    <w:rsid w:val="00857B29"/>
    <w:rsid w:val="008638B1"/>
    <w:rsid w:val="00893658"/>
    <w:rsid w:val="00894DEF"/>
    <w:rsid w:val="00A834F0"/>
    <w:rsid w:val="00AE03B9"/>
    <w:rsid w:val="00AF1DC5"/>
    <w:rsid w:val="00B0799B"/>
    <w:rsid w:val="00B11B69"/>
    <w:rsid w:val="00B441C2"/>
    <w:rsid w:val="00B66A9E"/>
    <w:rsid w:val="00D84567"/>
    <w:rsid w:val="00DD646B"/>
    <w:rsid w:val="00EC7836"/>
    <w:rsid w:val="00F02894"/>
    <w:rsid w:val="00F07AA5"/>
    <w:rsid w:val="00F07BF4"/>
    <w:rsid w:val="00F14906"/>
    <w:rsid w:val="00F20EDE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F16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1650"/>
    <w:pPr>
      <w:suppressAutoHyphens w:val="0"/>
      <w:spacing w:after="0"/>
      <w:jc w:val="left"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1650"/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DANIELA CESARI</cp:lastModifiedBy>
  <cp:revision>8</cp:revision>
  <dcterms:created xsi:type="dcterms:W3CDTF">2025-08-12T15:27:00Z</dcterms:created>
  <dcterms:modified xsi:type="dcterms:W3CDTF">2025-08-12T16:09:00Z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