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6442B49D" w14:textId="77777777" w:rsidR="00724E3C" w:rsidRDefault="00724E3C">
      <w:pPr>
        <w:pStyle w:val="Titolo2"/>
        <w:rPr>
          <w:iCs w:val="0"/>
          <w:kern w:val="2"/>
          <w:sz w:val="24"/>
          <w:szCs w:val="32"/>
        </w:rPr>
      </w:pPr>
      <w:r w:rsidRPr="00724E3C">
        <w:rPr>
          <w:iCs w:val="0"/>
          <w:kern w:val="2"/>
          <w:sz w:val="24"/>
          <w:szCs w:val="32"/>
        </w:rPr>
        <w:t xml:space="preserve">Comparison of reference upper-air GRUAN and homogenized RHARM data with GNSS-RO </w:t>
      </w:r>
    </w:p>
    <w:p w14:paraId="0B681D3C" w14:textId="77777777" w:rsidR="00724E3C" w:rsidRPr="00724E3C" w:rsidRDefault="00724E3C">
      <w:pPr>
        <w:pStyle w:val="Titolo3"/>
        <w:rPr>
          <w:rFonts w:ascii="Arial" w:hAnsi="Arial" w:cs="Arial"/>
          <w:b/>
          <w:i w:val="0"/>
          <w:iCs/>
          <w:szCs w:val="28"/>
          <w:lang w:val="it-IT" w:eastAsia="de-DE"/>
        </w:rPr>
      </w:pPr>
      <w:r w:rsidRPr="00724E3C">
        <w:rPr>
          <w:rFonts w:ascii="Arial" w:hAnsi="Arial" w:cs="Arial"/>
          <w:b/>
          <w:i w:val="0"/>
          <w:iCs/>
          <w:szCs w:val="28"/>
          <w:lang w:val="it-IT" w:eastAsia="de-DE"/>
        </w:rPr>
        <w:t>Fabrizio Marra</w:t>
      </w:r>
      <w:r w:rsidRPr="00724E3C"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Pr="00724E3C">
        <w:rPr>
          <w:rFonts w:ascii="Arial" w:hAnsi="Arial" w:cs="Arial"/>
          <w:b/>
          <w:i w:val="0"/>
          <w:iCs/>
          <w:szCs w:val="28"/>
          <w:lang w:val="it-IT" w:eastAsia="de-DE"/>
        </w:rPr>
        <w:t>, Emanuele Tramutola</w:t>
      </w:r>
      <w:r w:rsidRPr="00724E3C"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Pr="00724E3C">
        <w:rPr>
          <w:rFonts w:ascii="Arial" w:hAnsi="Arial" w:cs="Arial"/>
          <w:b/>
          <w:i w:val="0"/>
          <w:iCs/>
          <w:szCs w:val="28"/>
          <w:lang w:val="it-IT" w:eastAsia="de-DE"/>
        </w:rPr>
        <w:t>, Ilaria Gandolfi</w:t>
      </w:r>
      <w:r w:rsidRPr="00724E3C"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Pr="00724E3C">
        <w:rPr>
          <w:rFonts w:ascii="Arial" w:hAnsi="Arial" w:cs="Arial"/>
          <w:b/>
          <w:i w:val="0"/>
          <w:iCs/>
          <w:szCs w:val="28"/>
          <w:lang w:val="it-IT" w:eastAsia="de-DE"/>
        </w:rPr>
        <w:t>, Gessica Cosimato</w:t>
      </w:r>
      <w:r w:rsidRPr="00724E3C"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Pr="00724E3C">
        <w:rPr>
          <w:rFonts w:ascii="Arial" w:hAnsi="Arial" w:cs="Arial"/>
          <w:b/>
          <w:i w:val="0"/>
          <w:iCs/>
          <w:szCs w:val="28"/>
          <w:lang w:val="it-IT" w:eastAsia="de-DE"/>
        </w:rPr>
        <w:t>, Marco Rosoldi</w:t>
      </w:r>
      <w:r w:rsidRPr="00724E3C"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Pr="00724E3C">
        <w:rPr>
          <w:rFonts w:ascii="Arial" w:hAnsi="Arial" w:cs="Arial"/>
          <w:b/>
          <w:i w:val="0"/>
          <w:iCs/>
          <w:szCs w:val="28"/>
          <w:lang w:val="it-IT" w:eastAsia="de-DE"/>
        </w:rPr>
        <w:t>, Fabio Madonna</w:t>
      </w:r>
      <w:r w:rsidRPr="00724E3C"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2</w:t>
      </w:r>
    </w:p>
    <w:p w14:paraId="7A8AED05" w14:textId="77777777" w:rsidR="00724E3C" w:rsidRPr="00AD5B21" w:rsidRDefault="00724E3C" w:rsidP="00724E3C">
      <w:pPr>
        <w:pStyle w:val="Titolo3"/>
        <w:rPr>
          <w:lang w:val="it-IT"/>
        </w:rPr>
      </w:pPr>
      <w:r w:rsidRPr="00724E3C">
        <w:rPr>
          <w:vertAlign w:val="superscript"/>
          <w:lang w:val="it-IT"/>
        </w:rPr>
        <w:t>1</w:t>
      </w:r>
      <w:r w:rsidRPr="00AD5B21">
        <w:rPr>
          <w:lang w:val="it-IT"/>
        </w:rPr>
        <w:t xml:space="preserve">Consiglio Nazionale delle Ricerche – Istituto di Metodologie per l’Analisi Ambientale, </w:t>
      </w:r>
      <w:proofErr w:type="gramStart"/>
      <w:r w:rsidRPr="00AD5B21">
        <w:rPr>
          <w:lang w:val="it-IT"/>
        </w:rPr>
        <w:t>C.da</w:t>
      </w:r>
      <w:proofErr w:type="gramEnd"/>
      <w:r w:rsidRPr="00AD5B21">
        <w:rPr>
          <w:lang w:val="it-IT"/>
        </w:rPr>
        <w:t xml:space="preserve"> S. </w:t>
      </w:r>
      <w:proofErr w:type="spellStart"/>
      <w:r w:rsidRPr="00AD5B21">
        <w:rPr>
          <w:lang w:val="it-IT"/>
        </w:rPr>
        <w:t>Loja</w:t>
      </w:r>
      <w:proofErr w:type="spellEnd"/>
      <w:r w:rsidRPr="00AD5B21">
        <w:rPr>
          <w:lang w:val="it-IT"/>
        </w:rPr>
        <w:t xml:space="preserve"> - Zona Industriale, I-85050 Tito Scalo (Potenza), </w:t>
      </w:r>
      <w:proofErr w:type="spellStart"/>
      <w:r w:rsidRPr="00AD5B21">
        <w:rPr>
          <w:lang w:val="it-IT"/>
        </w:rPr>
        <w:t>Italy</w:t>
      </w:r>
      <w:proofErr w:type="spellEnd"/>
      <w:r w:rsidRPr="00AD5B21">
        <w:rPr>
          <w:lang w:val="it-IT"/>
        </w:rPr>
        <w:t>.</w:t>
      </w:r>
    </w:p>
    <w:p w14:paraId="3EB3D712" w14:textId="77777777" w:rsidR="00724E3C" w:rsidRDefault="00724E3C" w:rsidP="00724E3C">
      <w:pPr>
        <w:pStyle w:val="Titolo3"/>
      </w:pPr>
      <w:r w:rsidRPr="00724E3C">
        <w:rPr>
          <w:vertAlign w:val="superscript"/>
        </w:rPr>
        <w:t>2</w:t>
      </w:r>
      <w:r>
        <w:t>Department of Physics, University of Salerno, 84084, Salerno, Italy.</w:t>
      </w:r>
    </w:p>
    <w:p w14:paraId="7305AFD5" w14:textId="568F36B6" w:rsidR="006706F6" w:rsidRPr="00724E3C" w:rsidRDefault="007F6533" w:rsidP="00724E3C">
      <w:pPr>
        <w:pStyle w:val="Titolo3"/>
      </w:pPr>
      <w:r>
        <w:t>Email of communicating</w:t>
      </w:r>
      <w:r w:rsidR="00724E3C">
        <w:t>:</w:t>
      </w:r>
      <w:r>
        <w:t xml:space="preserve"> </w:t>
      </w:r>
      <w:r w:rsidR="00724E3C">
        <w:t>fabrizio.marra@cnr.it</w:t>
      </w:r>
      <w:r>
        <w:rPr>
          <w:lang w:eastAsia="de-DE"/>
        </w:rPr>
        <w:br/>
      </w:r>
    </w:p>
    <w:p w14:paraId="3CF8A07A" w14:textId="77777777" w:rsidR="00F20EDE" w:rsidRDefault="00F20EDE" w:rsidP="00F20EDE"/>
    <w:p w14:paraId="13C0F515" w14:textId="11D3C498" w:rsidR="00724E3C" w:rsidRDefault="00724E3C" w:rsidP="00724E3C">
      <w:r>
        <w:t xml:space="preserve">The study of thermodynamical variables, such as temperature and relative humidity in the upper troposphere/lower stratosphere (UT/LS), is one of the key elements for understanding climate change. </w:t>
      </w:r>
      <w:r w:rsidR="00786601" w:rsidRPr="00786601">
        <w:t xml:space="preserve">Several studies estimated trends both regionally and globally in the UT/LS, using both satellite and ground-based data and different measurement techniques. </w:t>
      </w:r>
      <w:r>
        <w:t xml:space="preserve">However, the accuracy and spatial-temporal coverage of measurements can significantly affect trend estimates. This work </w:t>
      </w:r>
      <w:r w:rsidR="00786601" w:rsidRPr="00786601">
        <w:t>investigates the consistency of temperature and humidity measurements by comparing</w:t>
      </w:r>
      <w:r w:rsidR="00786601">
        <w:t xml:space="preserve"> </w:t>
      </w:r>
      <w:r>
        <w:t>upper-air data from three sources: GRUAN (</w:t>
      </w:r>
      <w:r w:rsidRPr="00392C26">
        <w:t>Global Climate Observing System (GCOS) Reference Upper-Air Network</w:t>
      </w:r>
      <w:r>
        <w:t>), RHARM (</w:t>
      </w:r>
      <w:proofErr w:type="spellStart"/>
      <w:r w:rsidRPr="00416F57">
        <w:t>Radiosounding</w:t>
      </w:r>
      <w:proofErr w:type="spellEnd"/>
      <w:r w:rsidRPr="00416F57">
        <w:t xml:space="preserve"> </w:t>
      </w:r>
      <w:proofErr w:type="spellStart"/>
      <w:r w:rsidRPr="00416F57">
        <w:t>HARMonization</w:t>
      </w:r>
      <w:proofErr w:type="spellEnd"/>
      <w:r>
        <w:t>), and GNSS-RO (</w:t>
      </w:r>
      <w:r w:rsidRPr="00416F57">
        <w:t>Global Navigation Satellite System - Radio Occultation</w:t>
      </w:r>
      <w:r>
        <w:t>)</w:t>
      </w:r>
      <w:r w:rsidRPr="00416F57">
        <w:t xml:space="preserve"> </w:t>
      </w:r>
      <w:r>
        <w:t>from COSMIC and METOP B-C missions.</w:t>
      </w:r>
    </w:p>
    <w:p w14:paraId="1BC0901F" w14:textId="2A0A3020" w:rsidR="005B26E8" w:rsidRDefault="005B26E8" w:rsidP="00724E3C">
      <w:r w:rsidRPr="005B26E8">
        <w:t xml:space="preserve">RHARM, a bias-adjusted </w:t>
      </w:r>
      <w:proofErr w:type="spellStart"/>
      <w:r w:rsidRPr="005B26E8">
        <w:t>radiosounding</w:t>
      </w:r>
      <w:proofErr w:type="spellEnd"/>
      <w:r w:rsidRPr="005B26E8">
        <w:t xml:space="preserve"> dataset based on IGRA and processed </w:t>
      </w:r>
      <w:r>
        <w:t>mimicking</w:t>
      </w:r>
      <w:r w:rsidRPr="005B26E8">
        <w:t xml:space="preserve"> </w:t>
      </w:r>
      <w:r>
        <w:t xml:space="preserve">the </w:t>
      </w:r>
      <w:r w:rsidRPr="005B26E8">
        <w:t>GRUAN</w:t>
      </w:r>
      <w:r>
        <w:t xml:space="preserve"> data processing</w:t>
      </w:r>
      <w:r w:rsidRPr="005B26E8">
        <w:t xml:space="preserve">, includes uncertainty estimates and covers ~700 stations worldwide. </w:t>
      </w:r>
      <w:r>
        <w:t>For this study, a</w:t>
      </w:r>
      <w:r w:rsidRPr="005B26E8">
        <w:t xml:space="preserve"> subset of 100 long-term stations</w:t>
      </w:r>
      <w:r>
        <w:t>, since 2006,</w:t>
      </w:r>
      <w:r w:rsidRPr="005B26E8">
        <w:t xml:space="preserve"> was selected for comparison. GNSS-RO data were collocated using a 200 km / 3 h criterion and interpolated at mandatory pressure levels</w:t>
      </w:r>
      <w:r>
        <w:t xml:space="preserve"> (850-10 </w:t>
      </w:r>
      <w:proofErr w:type="spellStart"/>
      <w:r>
        <w:t>hPa</w:t>
      </w:r>
      <w:proofErr w:type="spellEnd"/>
      <w:r>
        <w:t>)</w:t>
      </w:r>
      <w:r w:rsidRPr="005B26E8">
        <w:t xml:space="preserve">. </w:t>
      </w:r>
      <w:r>
        <w:t xml:space="preserve">Comparisons were performed across latitude bands: mid-latitudes (NH), polar regions (NP), and tropics (TR). </w:t>
      </w:r>
    </w:p>
    <w:p w14:paraId="0FC868B0" w14:textId="77777777" w:rsidR="00724E3C" w:rsidRDefault="00724E3C" w:rsidP="00724E3C">
      <w:r>
        <w:t xml:space="preserve">Results show that RHARM profiles exhibit smaller biases compared to GRUAN (up to 0.1 K), while IGRA shows larger discrepancies (up to 0.25 K). GNSS-RO data, when compared to RHARM, reveal temperature biases up to 0.3 K and relative humidity biases up to 12% in tropical regions. RHARM consistently shows better agreement with GRUAN than IGRA, especially in the UT/LS region. </w:t>
      </w:r>
      <w:r w:rsidRPr="00576869">
        <w:t>This dual comparison allows assessing the performance of satellite-based profiles both against reference and homogenized ground-based observations.</w:t>
      </w:r>
    </w:p>
    <w:p w14:paraId="0B6DD039" w14:textId="1664D26D" w:rsidR="00F20EDE" w:rsidRDefault="00724E3C" w:rsidP="00724E3C">
      <w:r w:rsidRPr="00576869">
        <w:t xml:space="preserve">These findings highlight the importance of homogenized </w:t>
      </w:r>
      <w:proofErr w:type="spellStart"/>
      <w:r w:rsidRPr="00576869">
        <w:t>radiosounding</w:t>
      </w:r>
      <w:proofErr w:type="spellEnd"/>
      <w:r w:rsidRPr="00576869">
        <w:t xml:space="preserve"> datasets for climate applications and support the integration of GNSS-RO data into global monitoring frameworks. Future work will extend the analysis to all RHARM stations and explore seasonal and latitudinal variability.</w:t>
      </w:r>
    </w:p>
    <w:p w14:paraId="0A88A0C2" w14:textId="78CBC231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724E3C" w:rsidRPr="00724E3C">
        <w:rPr>
          <w:b/>
          <w:bCs/>
        </w:rPr>
        <w:t xml:space="preserve">upper-air climatology, </w:t>
      </w:r>
      <w:proofErr w:type="spellStart"/>
      <w:r w:rsidR="00724E3C" w:rsidRPr="00724E3C">
        <w:rPr>
          <w:b/>
          <w:bCs/>
        </w:rPr>
        <w:t>radiosounding</w:t>
      </w:r>
      <w:proofErr w:type="spellEnd"/>
      <w:r w:rsidR="00724E3C" w:rsidRPr="00724E3C">
        <w:rPr>
          <w:b/>
          <w:bCs/>
        </w:rPr>
        <w:t xml:space="preserve"> homogenization, GNSS-RO validation</w:t>
      </w:r>
      <w:r w:rsidR="00724E3C">
        <w:rPr>
          <w:b/>
          <w:bCs/>
        </w:rPr>
        <w:t>.</w:t>
      </w:r>
    </w:p>
    <w:p w14:paraId="674716A7" w14:textId="77777777" w:rsidR="00A834F0" w:rsidRPr="00A834F0" w:rsidRDefault="00A834F0" w:rsidP="00A834F0"/>
    <w:p w14:paraId="730B046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D7C1" w14:textId="77777777" w:rsidR="000718FA" w:rsidRDefault="000718FA">
      <w:pPr>
        <w:spacing w:after="0"/>
      </w:pPr>
      <w:r>
        <w:separator/>
      </w:r>
    </w:p>
  </w:endnote>
  <w:endnote w:type="continuationSeparator" w:id="0">
    <w:p w14:paraId="7CCF25EF" w14:textId="77777777" w:rsidR="000718FA" w:rsidRDefault="000718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C967" w14:textId="77777777" w:rsidR="000718FA" w:rsidRDefault="000718FA">
      <w:pPr>
        <w:spacing w:after="0"/>
      </w:pPr>
      <w:r>
        <w:separator/>
      </w:r>
    </w:p>
  </w:footnote>
  <w:footnote w:type="continuationSeparator" w:id="0">
    <w:p w14:paraId="4C4C088B" w14:textId="77777777" w:rsidR="000718FA" w:rsidRDefault="000718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718FA"/>
    <w:rsid w:val="000A77D2"/>
    <w:rsid w:val="000F679A"/>
    <w:rsid w:val="001219CF"/>
    <w:rsid w:val="001D4750"/>
    <w:rsid w:val="001D53B8"/>
    <w:rsid w:val="001E3875"/>
    <w:rsid w:val="001E7F38"/>
    <w:rsid w:val="001F6B5D"/>
    <w:rsid w:val="002177EE"/>
    <w:rsid w:val="002250AA"/>
    <w:rsid w:val="002A79D3"/>
    <w:rsid w:val="003D2510"/>
    <w:rsid w:val="004D68AC"/>
    <w:rsid w:val="00576869"/>
    <w:rsid w:val="005A6355"/>
    <w:rsid w:val="005B26E8"/>
    <w:rsid w:val="00651068"/>
    <w:rsid w:val="006706F6"/>
    <w:rsid w:val="006E1F2D"/>
    <w:rsid w:val="00724E3C"/>
    <w:rsid w:val="00754550"/>
    <w:rsid w:val="00786601"/>
    <w:rsid w:val="007D4B4B"/>
    <w:rsid w:val="007F6533"/>
    <w:rsid w:val="00841507"/>
    <w:rsid w:val="00857B29"/>
    <w:rsid w:val="008638B1"/>
    <w:rsid w:val="00893658"/>
    <w:rsid w:val="00A3322D"/>
    <w:rsid w:val="00A834F0"/>
    <w:rsid w:val="00AE03B9"/>
    <w:rsid w:val="00AE46FD"/>
    <w:rsid w:val="00AF1DC5"/>
    <w:rsid w:val="00B0799B"/>
    <w:rsid w:val="00B11B69"/>
    <w:rsid w:val="00B441C2"/>
    <w:rsid w:val="00DD646B"/>
    <w:rsid w:val="00E122AA"/>
    <w:rsid w:val="00E87FDB"/>
    <w:rsid w:val="00F02894"/>
    <w:rsid w:val="00F07AA5"/>
    <w:rsid w:val="00F07BF4"/>
    <w:rsid w:val="00F14906"/>
    <w:rsid w:val="00F20EDE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FABRIZIO MARRA</cp:lastModifiedBy>
  <cp:revision>7</cp:revision>
  <dcterms:created xsi:type="dcterms:W3CDTF">2025-05-30T09:17:00Z</dcterms:created>
  <dcterms:modified xsi:type="dcterms:W3CDTF">2025-08-25T14:01:00Z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